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71969" w14:textId="54C44D05" w:rsidR="7354F712" w:rsidRDefault="00261E68" w:rsidP="00CF5E0F">
      <w:pPr>
        <w:contextualSpacing/>
        <w:jc w:val="center"/>
        <w:rPr>
          <w:b/>
          <w:bCs/>
          <w:u w:val="single"/>
        </w:rPr>
      </w:pPr>
      <w:r>
        <w:rPr>
          <w:b/>
          <w:bCs/>
          <w:u w:val="single"/>
        </w:rPr>
        <w:t xml:space="preserve">FAQ from DOB’s Third LL97 Rule Package Webinar with </w:t>
      </w:r>
      <w:r w:rsidR="7354F712" w:rsidRPr="19FB8DAC">
        <w:rPr>
          <w:b/>
          <w:bCs/>
          <w:u w:val="single"/>
        </w:rPr>
        <w:t xml:space="preserve">Urban Green Council </w:t>
      </w:r>
    </w:p>
    <w:p w14:paraId="052581E2" w14:textId="77777777" w:rsidR="00EC60CC" w:rsidRDefault="00EC60CC" w:rsidP="00CF5E0F">
      <w:pPr>
        <w:contextualSpacing/>
        <w:jc w:val="center"/>
      </w:pPr>
    </w:p>
    <w:p w14:paraId="3D2D20E8" w14:textId="134C7756" w:rsidR="00391DB7" w:rsidRPr="008B7BE2" w:rsidRDefault="002C15FB" w:rsidP="00391DB7">
      <w:pPr>
        <w:contextualSpacing/>
        <w:rPr>
          <w:b/>
          <w:bCs/>
          <w:u w:val="single"/>
        </w:rPr>
      </w:pPr>
      <w:r w:rsidRPr="002C15FB">
        <w:rPr>
          <w:b/>
          <w:bCs/>
          <w:u w:val="single"/>
        </w:rPr>
        <w:t xml:space="preserve">Deductions from reported annual building emissions for offsets </w:t>
      </w:r>
      <w:r>
        <w:rPr>
          <w:b/>
          <w:bCs/>
          <w:u w:val="single"/>
        </w:rPr>
        <w:t xml:space="preserve">(the </w:t>
      </w:r>
      <w:r w:rsidR="00391DB7" w:rsidRPr="008B7BE2">
        <w:rPr>
          <w:b/>
          <w:bCs/>
          <w:u w:val="single"/>
        </w:rPr>
        <w:t xml:space="preserve">Affordable Housing </w:t>
      </w:r>
      <w:r>
        <w:rPr>
          <w:b/>
          <w:bCs/>
          <w:u w:val="single"/>
        </w:rPr>
        <w:t>Reinvestment Fund)</w:t>
      </w:r>
      <w:r w:rsidR="00391DB7" w:rsidRPr="008B7BE2">
        <w:rPr>
          <w:b/>
          <w:bCs/>
          <w:u w:val="single"/>
        </w:rPr>
        <w:t>:</w:t>
      </w:r>
      <w:r w:rsidR="00391DB7" w:rsidRPr="008B7BE2">
        <w:rPr>
          <w:b/>
          <w:bCs/>
        </w:rPr>
        <w:t xml:space="preserve"> </w:t>
      </w:r>
    </w:p>
    <w:p w14:paraId="4ED559A5" w14:textId="77777777" w:rsidR="00391DB7" w:rsidRDefault="00391DB7" w:rsidP="00391DB7">
      <w:pPr>
        <w:contextualSpacing/>
        <w:rPr>
          <w:rStyle w:val="ui-provider"/>
        </w:rPr>
      </w:pPr>
      <w:r w:rsidRPr="00B431FF">
        <w:rPr>
          <w:rStyle w:val="ui-provider"/>
          <w:b/>
          <w:bCs/>
        </w:rPr>
        <w:t>Q:</w:t>
      </w:r>
      <w:r>
        <w:rPr>
          <w:rStyle w:val="ui-provider"/>
        </w:rPr>
        <w:t xml:space="preserve"> Can Article 321 buildings purchase offsets to achieve compliance with LL97?</w:t>
      </w:r>
    </w:p>
    <w:p w14:paraId="69DCF78A" w14:textId="73F63C65" w:rsidR="00391DB7" w:rsidRDefault="00391DB7" w:rsidP="00391DB7">
      <w:pPr>
        <w:contextualSpacing/>
        <w:rPr>
          <w:rStyle w:val="ui-provider"/>
        </w:rPr>
      </w:pPr>
      <w:r w:rsidRPr="00B431FF">
        <w:rPr>
          <w:rStyle w:val="ui-provider"/>
          <w:b/>
          <w:bCs/>
        </w:rPr>
        <w:t>A:</w:t>
      </w:r>
      <w:r>
        <w:rPr>
          <w:rStyle w:val="ui-provider"/>
        </w:rPr>
        <w:t xml:space="preserve"> </w:t>
      </w:r>
      <w:bookmarkStart w:id="0" w:name="_Hlk187063116"/>
      <w:r>
        <w:rPr>
          <w:rStyle w:val="ui-provider"/>
        </w:rPr>
        <w:t xml:space="preserve">An </w:t>
      </w:r>
      <w:proofErr w:type="gramStart"/>
      <w:r>
        <w:rPr>
          <w:rStyle w:val="ui-provider"/>
        </w:rPr>
        <w:t>Article</w:t>
      </w:r>
      <w:proofErr w:type="gramEnd"/>
      <w:r>
        <w:rPr>
          <w:rStyle w:val="ui-provider"/>
        </w:rPr>
        <w:t xml:space="preserve"> 321 building pursuing compliance pursuant §28-321.2.1, the emissions performance path, can purchase offsets to apply towards compliance</w:t>
      </w:r>
      <w:r w:rsidR="00544296">
        <w:rPr>
          <w:rStyle w:val="ui-provider"/>
        </w:rPr>
        <w:t>, similar to</w:t>
      </w:r>
      <w:r>
        <w:rPr>
          <w:rStyle w:val="ui-provider"/>
        </w:rPr>
        <w:t xml:space="preserve"> an Article 320 building.</w:t>
      </w:r>
      <w:bookmarkEnd w:id="0"/>
    </w:p>
    <w:p w14:paraId="177CD541" w14:textId="77777777" w:rsidR="002C15FB" w:rsidRDefault="002C15FB" w:rsidP="002C15FB">
      <w:pPr>
        <w:contextualSpacing/>
        <w:rPr>
          <w:b/>
          <w:bCs/>
        </w:rPr>
      </w:pPr>
    </w:p>
    <w:p w14:paraId="39D6CB49" w14:textId="7A8D3D7D" w:rsidR="002C15FB" w:rsidRPr="00814985" w:rsidRDefault="002C15FB" w:rsidP="002C15FB">
      <w:pPr>
        <w:contextualSpacing/>
      </w:pPr>
      <w:r w:rsidRPr="00B6671E">
        <w:rPr>
          <w:b/>
          <w:bCs/>
        </w:rPr>
        <w:t>Q:</w:t>
      </w:r>
      <w:r w:rsidRPr="00814985">
        <w:t xml:space="preserve"> </w:t>
      </w:r>
      <w:r w:rsidRPr="00814985">
        <w:rPr>
          <w:rFonts w:ascii="Calibri" w:hAnsi="Calibri" w:cs="Calibri"/>
        </w:rPr>
        <w:t xml:space="preserve">What is the current anticipated inventory of </w:t>
      </w:r>
      <w:r>
        <w:rPr>
          <w:rFonts w:ascii="Calibri" w:hAnsi="Calibri" w:cs="Calibri"/>
        </w:rPr>
        <w:t>o</w:t>
      </w:r>
      <w:r w:rsidRPr="00814985">
        <w:rPr>
          <w:rFonts w:ascii="Calibri" w:hAnsi="Calibri" w:cs="Calibri"/>
        </w:rPr>
        <w:t>ffsets? Are there more available than the projected excess emissions?</w:t>
      </w:r>
    </w:p>
    <w:p w14:paraId="00418C36" w14:textId="4A8EDFC6" w:rsidR="002C15FB" w:rsidRDefault="002C15FB" w:rsidP="002C15FB">
      <w:pPr>
        <w:contextualSpacing/>
        <w:rPr>
          <w:rStyle w:val="ui-provider"/>
        </w:rPr>
      </w:pPr>
      <w:r w:rsidRPr="00B6671E">
        <w:rPr>
          <w:b/>
          <w:bCs/>
        </w:rPr>
        <w:t>A:</w:t>
      </w:r>
      <w:r>
        <w:t xml:space="preserve"> </w:t>
      </w:r>
      <w:r>
        <w:rPr>
          <w:rStyle w:val="ui-provider"/>
        </w:rPr>
        <w:t>There is a</w:t>
      </w:r>
      <w:r w:rsidR="00544296">
        <w:rPr>
          <w:rStyle w:val="ui-provider"/>
        </w:rPr>
        <w:t>n established</w:t>
      </w:r>
      <w:r>
        <w:rPr>
          <w:rStyle w:val="ui-provider"/>
        </w:rPr>
        <w:t xml:space="preserve"> pipeline of projects for the Affordable Housing Reinvestment Fund. DOB and HPD will be monitoring the offset purchases and responding to demand as necessary.</w:t>
      </w:r>
    </w:p>
    <w:p w14:paraId="4637E8CF" w14:textId="77777777" w:rsidR="002C15FB" w:rsidRDefault="002C15FB" w:rsidP="002C15FB">
      <w:pPr>
        <w:contextualSpacing/>
        <w:rPr>
          <w:rStyle w:val="ui-provider"/>
        </w:rPr>
      </w:pPr>
    </w:p>
    <w:p w14:paraId="5BCFECDF" w14:textId="77777777" w:rsidR="002C15FB" w:rsidRPr="008B7BE2" w:rsidRDefault="002C15FB" w:rsidP="002C15FB">
      <w:pPr>
        <w:contextualSpacing/>
      </w:pPr>
      <w:r w:rsidRPr="00B6671E">
        <w:rPr>
          <w:b/>
          <w:bCs/>
        </w:rPr>
        <w:t>Q:</w:t>
      </w:r>
      <w:r w:rsidRPr="008B7BE2">
        <w:t xml:space="preserve"> </w:t>
      </w:r>
      <w:r w:rsidRPr="008B7BE2">
        <w:rPr>
          <w:rFonts w:ascii="Calibri" w:hAnsi="Calibri" w:cs="Calibri"/>
        </w:rPr>
        <w:t>Can you provide some information about how the third-party administrator is compensated for their role?</w:t>
      </w:r>
    </w:p>
    <w:p w14:paraId="52BF190D" w14:textId="09CA8EE9" w:rsidR="002C15FB" w:rsidRDefault="002C15FB" w:rsidP="002C15FB">
      <w:pPr>
        <w:contextualSpacing/>
      </w:pPr>
      <w:r w:rsidRPr="00B6671E">
        <w:rPr>
          <w:b/>
          <w:bCs/>
        </w:rPr>
        <w:t>A:</w:t>
      </w:r>
      <w:r w:rsidRPr="00913A5D">
        <w:t xml:space="preserve"> The City is finalizing the contract with the third-party administrator</w:t>
      </w:r>
      <w:r>
        <w:t>.</w:t>
      </w:r>
      <w:r w:rsidR="00C926A0">
        <w:t xml:space="preserve"> </w:t>
      </w:r>
    </w:p>
    <w:p w14:paraId="0096227A" w14:textId="77777777" w:rsidR="00632850" w:rsidRDefault="00632850" w:rsidP="002C15FB">
      <w:pPr>
        <w:contextualSpacing/>
      </w:pPr>
    </w:p>
    <w:p w14:paraId="7BD7D9FC" w14:textId="77777777" w:rsidR="00632850" w:rsidRDefault="00632850" w:rsidP="00632850">
      <w:pPr>
        <w:contextualSpacing/>
      </w:pPr>
      <w:r w:rsidRPr="00B6671E">
        <w:rPr>
          <w:b/>
          <w:bCs/>
        </w:rPr>
        <w:t>Q:</w:t>
      </w:r>
      <w:r>
        <w:t xml:space="preserve"> </w:t>
      </w:r>
      <w:r>
        <w:rPr>
          <w:rFonts w:ascii="Calibri" w:hAnsi="Calibri" w:cs="Calibri"/>
        </w:rPr>
        <w:t>If the offset value is 3-5 tons of GHG reductions per dwelling unit per year, over 20 years, do these need to be only purchased once every 20 years? Or do you have to buy them every year?</w:t>
      </w:r>
    </w:p>
    <w:p w14:paraId="7CA5E2BA" w14:textId="7EA61463" w:rsidR="00632850" w:rsidRPr="008B7BE2" w:rsidRDefault="00632850" w:rsidP="002C15FB">
      <w:pPr>
        <w:contextualSpacing/>
      </w:pPr>
      <w:r w:rsidRPr="00B6671E">
        <w:rPr>
          <w:b/>
          <w:bCs/>
        </w:rPr>
        <w:t>A:</w:t>
      </w:r>
      <w:r>
        <w:t xml:space="preserve"> </w:t>
      </w:r>
      <w:r>
        <w:rPr>
          <w:rStyle w:val="ui-provider"/>
        </w:rPr>
        <w:t>Offsets for LL97 compliance must be purchased each year the building owner intends to use them for LL97 compliance.</w:t>
      </w:r>
    </w:p>
    <w:p w14:paraId="0830F319" w14:textId="77777777" w:rsidR="002C15FB" w:rsidRDefault="002C15FB" w:rsidP="002C15FB">
      <w:pPr>
        <w:contextualSpacing/>
      </w:pPr>
    </w:p>
    <w:p w14:paraId="58EAC4B9" w14:textId="07A027D0" w:rsidR="002C15FB" w:rsidRDefault="002C15FB" w:rsidP="002C15FB">
      <w:pPr>
        <w:contextualSpacing/>
      </w:pPr>
      <w:r w:rsidRPr="00B6671E">
        <w:rPr>
          <w:b/>
          <w:bCs/>
        </w:rPr>
        <w:t>Q:</w:t>
      </w:r>
      <w:r>
        <w:t xml:space="preserve"> </w:t>
      </w:r>
      <w:r>
        <w:rPr>
          <w:rFonts w:ascii="Calibri" w:hAnsi="Calibri" w:cs="Calibri"/>
        </w:rPr>
        <w:t>What's the process for acquiring offsets?  Any details on providers who can facilitate?  Any preliminary information regarding costs?</w:t>
      </w:r>
    </w:p>
    <w:p w14:paraId="3F028A00" w14:textId="6DC5272E" w:rsidR="002C15FB" w:rsidRPr="002C15FB" w:rsidRDefault="002C15FB" w:rsidP="002C15FB">
      <w:pPr>
        <w:contextualSpacing/>
      </w:pPr>
      <w:r w:rsidRPr="00B431FF">
        <w:rPr>
          <w:b/>
          <w:bCs/>
        </w:rPr>
        <w:t>A:</w:t>
      </w:r>
      <w:r>
        <w:t xml:space="preserve"> </w:t>
      </w:r>
      <w:r w:rsidRPr="002C15FB">
        <w:t xml:space="preserve">The price for an offset representing one tCO2e will be </w:t>
      </w:r>
      <w:r>
        <w:t xml:space="preserve">$268. DOB, in collaboration with HPD and the fund administrator, will be publishing guidance </w:t>
      </w:r>
      <w:r w:rsidR="0033449C">
        <w:t xml:space="preserve">early in 2025, </w:t>
      </w:r>
      <w:r>
        <w:t xml:space="preserve">on the process for purchasing offsets. </w:t>
      </w:r>
    </w:p>
    <w:p w14:paraId="64E800ED" w14:textId="77777777" w:rsidR="00391DB7" w:rsidRDefault="00391DB7" w:rsidP="00391DB7">
      <w:pPr>
        <w:contextualSpacing/>
      </w:pPr>
    </w:p>
    <w:p w14:paraId="55592FFF" w14:textId="60E2F2EB" w:rsidR="7DA2467C" w:rsidRPr="001D1886" w:rsidRDefault="000F4391" w:rsidP="00CF5E0F">
      <w:pPr>
        <w:contextualSpacing/>
        <w:rPr>
          <w:b/>
          <w:bCs/>
          <w:u w:val="single"/>
        </w:rPr>
      </w:pPr>
      <w:r>
        <w:rPr>
          <w:b/>
          <w:bCs/>
          <w:u w:val="single"/>
        </w:rPr>
        <w:t>A</w:t>
      </w:r>
      <w:r w:rsidRPr="000F4391">
        <w:rPr>
          <w:b/>
          <w:bCs/>
          <w:u w:val="single"/>
        </w:rPr>
        <w:t>djustment</w:t>
      </w:r>
      <w:r>
        <w:rPr>
          <w:b/>
          <w:bCs/>
          <w:u w:val="single"/>
        </w:rPr>
        <w:t>s</w:t>
      </w:r>
      <w:r w:rsidRPr="000F4391">
        <w:rPr>
          <w:b/>
          <w:bCs/>
          <w:u w:val="single"/>
        </w:rPr>
        <w:t xml:space="preserve"> to annual building emission limits in accordance with section 28-320.7</w:t>
      </w:r>
      <w:r w:rsidR="7DC4C374" w:rsidRPr="001D1886">
        <w:rPr>
          <w:b/>
          <w:bCs/>
          <w:u w:val="single"/>
        </w:rPr>
        <w:t>:</w:t>
      </w:r>
    </w:p>
    <w:p w14:paraId="15A81E45" w14:textId="74BC945A" w:rsidR="5A92A07F" w:rsidRDefault="5A92A07F" w:rsidP="00CF5E0F">
      <w:pPr>
        <w:contextualSpacing/>
      </w:pPr>
      <w:bookmarkStart w:id="1" w:name="_Hlk184205903"/>
      <w:r w:rsidRPr="00B431FF">
        <w:rPr>
          <w:b/>
          <w:bCs/>
        </w:rPr>
        <w:t>Q:</w:t>
      </w:r>
      <w:r>
        <w:t xml:space="preserve"> </w:t>
      </w:r>
      <w:r w:rsidR="00857802">
        <w:rPr>
          <w:rFonts w:ascii="Calibri" w:hAnsi="Calibri" w:cs="Calibri"/>
        </w:rPr>
        <w:t xml:space="preserve">Can a </w:t>
      </w:r>
      <w:r w:rsidR="00532DEA">
        <w:rPr>
          <w:rFonts w:ascii="Calibri" w:hAnsi="Calibri" w:cs="Calibri"/>
        </w:rPr>
        <w:t>building</w:t>
      </w:r>
      <w:r w:rsidR="00857802">
        <w:rPr>
          <w:rFonts w:ascii="Calibri" w:hAnsi="Calibri" w:cs="Calibri"/>
        </w:rPr>
        <w:t xml:space="preserve"> have an adjustment under multiple adjustment programs?</w:t>
      </w:r>
    </w:p>
    <w:p w14:paraId="6E014C35" w14:textId="5FDE832F" w:rsidR="000C109C" w:rsidRDefault="5A92A07F" w:rsidP="00CF5E0F">
      <w:pPr>
        <w:contextualSpacing/>
      </w:pPr>
      <w:r w:rsidRPr="00B431FF">
        <w:rPr>
          <w:b/>
          <w:bCs/>
        </w:rPr>
        <w:t>A:</w:t>
      </w:r>
      <w:r>
        <w:t xml:space="preserve"> </w:t>
      </w:r>
      <w:r w:rsidR="00C926A0">
        <w:t>Yes, a</w:t>
      </w:r>
      <w:r w:rsidR="00CA5B0A">
        <w:t xml:space="preserve"> building may qualify</w:t>
      </w:r>
      <w:r w:rsidR="00C926A0">
        <w:t xml:space="preserve"> for</w:t>
      </w:r>
      <w:r w:rsidR="00CA5B0A">
        <w:t xml:space="preserve"> </w:t>
      </w:r>
      <w:r w:rsidR="00C926A0">
        <w:t xml:space="preserve">an </w:t>
      </w:r>
      <w:r w:rsidR="0033449C">
        <w:t>adjustment</w:t>
      </w:r>
      <w:r w:rsidR="00C926A0">
        <w:t xml:space="preserve"> under multiple adjustment program</w:t>
      </w:r>
      <w:r w:rsidR="0033449C">
        <w:t>s</w:t>
      </w:r>
      <w:r w:rsidR="00CA5B0A">
        <w:t>.</w:t>
      </w:r>
    </w:p>
    <w:bookmarkEnd w:id="1"/>
    <w:p w14:paraId="2ACD9D9E" w14:textId="5F32DA30" w:rsidR="7DA2467C" w:rsidRDefault="7DA2467C" w:rsidP="00CF5E0F">
      <w:pPr>
        <w:contextualSpacing/>
      </w:pPr>
    </w:p>
    <w:p w14:paraId="053CC3CE" w14:textId="470D2C66" w:rsidR="30ED4200" w:rsidRDefault="30ED4200" w:rsidP="00CF5E0F">
      <w:pPr>
        <w:contextualSpacing/>
      </w:pPr>
      <w:r w:rsidRPr="00B431FF">
        <w:rPr>
          <w:b/>
          <w:bCs/>
        </w:rPr>
        <w:t>Q:</w:t>
      </w:r>
      <w:r>
        <w:t xml:space="preserve"> </w:t>
      </w:r>
      <w:r w:rsidR="00857802">
        <w:rPr>
          <w:rFonts w:ascii="Calibri" w:hAnsi="Calibri" w:cs="Calibri"/>
        </w:rPr>
        <w:t>Will you require audited financials to demonstrate debt service coverage ratio, increase costs, etc.-? How many years of financials are required?</w:t>
      </w:r>
    </w:p>
    <w:p w14:paraId="7160B424" w14:textId="2FBC1D2E" w:rsidR="001779FF" w:rsidRDefault="30ED4200" w:rsidP="00CF5E0F">
      <w:pPr>
        <w:contextualSpacing/>
      </w:pPr>
      <w:r w:rsidRPr="00B431FF">
        <w:rPr>
          <w:b/>
          <w:bCs/>
        </w:rPr>
        <w:t>A:</w:t>
      </w:r>
      <w:r w:rsidR="009C0357">
        <w:t xml:space="preserve"> </w:t>
      </w:r>
      <w:r w:rsidR="00CA5B0A">
        <w:t xml:space="preserve">DOB will provide templates </w:t>
      </w:r>
      <w:r w:rsidR="00632850">
        <w:t>that must be completed by</w:t>
      </w:r>
      <w:r w:rsidR="00CA5B0A">
        <w:t xml:space="preserve"> a certified public accountant to show the building meets the applicable financial standard. The years of financial information required depend on the standard as follows:</w:t>
      </w:r>
    </w:p>
    <w:p w14:paraId="6AC61B5A" w14:textId="6D9DF187" w:rsidR="009C0357" w:rsidRDefault="009C0357" w:rsidP="00B431FF">
      <w:pPr>
        <w:ind w:left="720"/>
        <w:contextualSpacing/>
      </w:pPr>
      <w:r w:rsidRPr="009C0357">
        <w:rPr>
          <w:u w:val="single"/>
        </w:rPr>
        <w:t>(a) For buildings held in a condominium or cooperative form of ownership</w:t>
      </w:r>
      <w:r>
        <w:t xml:space="preserve">: a 3-year average increase in annual carrying charges per unit of 5% above the average rate of inflation for the same </w:t>
      </w:r>
      <w:r w:rsidRPr="00B431FF">
        <w:rPr>
          <w:b/>
          <w:bCs/>
        </w:rPr>
        <w:t>3-year period</w:t>
      </w:r>
      <w:r>
        <w:t>;</w:t>
      </w:r>
      <w:r w:rsidR="0033449C">
        <w:t xml:space="preserve"> or</w:t>
      </w:r>
    </w:p>
    <w:p w14:paraId="4D1447DA" w14:textId="77777777" w:rsidR="009C0357" w:rsidRDefault="009C0357" w:rsidP="00B431FF">
      <w:pPr>
        <w:ind w:left="720"/>
        <w:contextualSpacing/>
      </w:pPr>
      <w:r w:rsidRPr="009C0357">
        <w:rPr>
          <w:u w:val="single"/>
        </w:rPr>
        <w:t>(b) For buildings exempt from real property taxes pursuant to sections 420-a, 420-b, 446 or 462 of the real property tax law and applicable local law</w:t>
      </w:r>
      <w:r>
        <w:t xml:space="preserve">: the building owner had negative revenue after subtraction of expenses for the combined </w:t>
      </w:r>
      <w:r w:rsidRPr="00B431FF">
        <w:rPr>
          <w:b/>
          <w:bCs/>
        </w:rPr>
        <w:t>2 years</w:t>
      </w:r>
      <w:r>
        <w:t xml:space="preserve"> prior to the application; or   </w:t>
      </w:r>
    </w:p>
    <w:p w14:paraId="1E154F4A" w14:textId="4734104F" w:rsidR="009C0357" w:rsidRDefault="009C0357" w:rsidP="00B431FF">
      <w:pPr>
        <w:ind w:left="720"/>
        <w:contextualSpacing/>
      </w:pPr>
      <w:r w:rsidRPr="009C0357">
        <w:rPr>
          <w:u w:val="single"/>
        </w:rPr>
        <w:lastRenderedPageBreak/>
        <w:t>(c) For buildings that are party to an affordable housing regulatory agreement and buildings with no debt</w:t>
      </w:r>
      <w:r>
        <w:t>: the building’s income-expense ratio</w:t>
      </w:r>
      <w:r w:rsidR="000F4391">
        <w:t xml:space="preserve"> </w:t>
      </w:r>
      <w:r w:rsidR="000F4391" w:rsidRPr="00B431FF">
        <w:rPr>
          <w:b/>
          <w:bCs/>
        </w:rPr>
        <w:t>for the most recent calendar year</w:t>
      </w:r>
      <w:r>
        <w:t>, as calculated pursuant to guidance issued by the department, is less than 1.05; or</w:t>
      </w:r>
    </w:p>
    <w:p w14:paraId="328F7C3C" w14:textId="34F0AC3F" w:rsidR="009C0357" w:rsidRDefault="009C0357" w:rsidP="00B431FF">
      <w:pPr>
        <w:ind w:left="720"/>
        <w:contextualSpacing/>
      </w:pPr>
      <w:r w:rsidRPr="009C0357">
        <w:rPr>
          <w:u w:val="single"/>
        </w:rPr>
        <w:t>(d) For all other building types</w:t>
      </w:r>
      <w:r>
        <w:t>: the building’s debt service coverage ratio</w:t>
      </w:r>
      <w:r w:rsidR="000F4391">
        <w:t xml:space="preserve"> </w:t>
      </w:r>
      <w:r w:rsidR="000F4391" w:rsidRPr="00B431FF">
        <w:rPr>
          <w:b/>
          <w:bCs/>
        </w:rPr>
        <w:t>for the most recent calendar year</w:t>
      </w:r>
      <w:r>
        <w:t>, as calculated pursuant to guidance issued by the department, is less than 1.15.</w:t>
      </w:r>
    </w:p>
    <w:p w14:paraId="67A3348E" w14:textId="7B85A9F9" w:rsidR="7DA2467C" w:rsidRDefault="7DA2467C" w:rsidP="00CF5E0F">
      <w:pPr>
        <w:contextualSpacing/>
      </w:pPr>
    </w:p>
    <w:p w14:paraId="35DF0A9F" w14:textId="38060012" w:rsidR="7DA2467C" w:rsidRDefault="497FF1A0" w:rsidP="00CF5E0F">
      <w:pPr>
        <w:contextualSpacing/>
      </w:pPr>
      <w:r w:rsidRPr="00B431FF">
        <w:rPr>
          <w:b/>
          <w:bCs/>
        </w:rPr>
        <w:t>Q:</w:t>
      </w:r>
      <w:r>
        <w:t xml:space="preserve"> Wh</w:t>
      </w:r>
      <w:r w:rsidR="00F432A9">
        <w:t>at does avail of all incentives available mean?</w:t>
      </w:r>
    </w:p>
    <w:p w14:paraId="120100CD" w14:textId="55250963" w:rsidR="00C926A0" w:rsidRDefault="497FF1A0" w:rsidP="00CF5E0F">
      <w:pPr>
        <w:contextualSpacing/>
      </w:pPr>
      <w:r w:rsidRPr="00B431FF">
        <w:rPr>
          <w:b/>
          <w:bCs/>
        </w:rPr>
        <w:t>A:</w:t>
      </w:r>
      <w:r>
        <w:t xml:space="preserve"> </w:t>
      </w:r>
      <w:r w:rsidR="000F4391">
        <w:t xml:space="preserve">For the 320.7 adjustment </w:t>
      </w:r>
      <w:r w:rsidR="00C926A0">
        <w:t>program</w:t>
      </w:r>
      <w:r w:rsidR="000F4391">
        <w:t xml:space="preserve">, </w:t>
      </w:r>
      <w:r w:rsidR="00C926A0">
        <w:t>the NYC Accelerator will attest to this for the building owner’s adjustment application with DOB. DOB in collaboration with NYC Accelerator will be publishing guidance early in 2025 on the adjustment application process.</w:t>
      </w:r>
    </w:p>
    <w:p w14:paraId="1990E6F3" w14:textId="77777777" w:rsidR="00C926A0" w:rsidRDefault="00C926A0" w:rsidP="00CF5E0F">
      <w:pPr>
        <w:contextualSpacing/>
      </w:pPr>
    </w:p>
    <w:p w14:paraId="30B890C6" w14:textId="45421E8E" w:rsidR="002130BC" w:rsidRDefault="00C926A0" w:rsidP="00CF5E0F">
      <w:pPr>
        <w:contextualSpacing/>
      </w:pPr>
      <w:r>
        <w:t xml:space="preserve">For the financial constraint adjustment, </w:t>
      </w:r>
      <w:r w:rsidR="000F4391">
        <w:t>the building owner has to work with NYC Accelerator to develop a scope of work for achieving compliance with the building’s emissions limit</w:t>
      </w:r>
      <w:r w:rsidR="00E46A70">
        <w:t xml:space="preserve">, </w:t>
      </w:r>
      <w:r>
        <w:t xml:space="preserve">and </w:t>
      </w:r>
      <w:r w:rsidR="00E46A70">
        <w:t>NYC Accelerator will help the owner</w:t>
      </w:r>
      <w:r>
        <w:t xml:space="preserve"> pursue</w:t>
      </w:r>
      <w:r w:rsidR="000F4391">
        <w:t xml:space="preserve"> all relevant </w:t>
      </w:r>
      <w:r w:rsidR="00E46A70">
        <w:t xml:space="preserve">city, state, federal, private, and utility </w:t>
      </w:r>
      <w:r w:rsidR="000F4391">
        <w:t>incentives for such work</w:t>
      </w:r>
      <w:r w:rsidR="00E46A70">
        <w:t>, as well as programs funded by the city or enabled by local law that provide financing for the purposes of energy reduction or sustainability measures</w:t>
      </w:r>
      <w:r w:rsidR="000F4391">
        <w:t>. Note, for building owners applying for the adjustment in 2025, the owner can submit the financial constraint template prepared by a Certified Public Account</w:t>
      </w:r>
      <w:r w:rsidR="002E44F6">
        <w:t>ant</w:t>
      </w:r>
      <w:r w:rsidR="000F4391">
        <w:t xml:space="preserve"> and an attestation from the NYC Accelerator that the full application process is underway.</w:t>
      </w:r>
      <w:r>
        <w:t xml:space="preserve"> </w:t>
      </w:r>
    </w:p>
    <w:p w14:paraId="36E15DFB" w14:textId="77777777" w:rsidR="000F4391" w:rsidRDefault="000F4391" w:rsidP="00CF5E0F">
      <w:pPr>
        <w:contextualSpacing/>
      </w:pPr>
    </w:p>
    <w:p w14:paraId="2AB2AF90" w14:textId="7AF24399" w:rsidR="000F4C64" w:rsidRDefault="000F4391" w:rsidP="00B431FF">
      <w:r>
        <w:t>For the 320.7 adjustment for external constraints, the building owner has to provide a</w:t>
      </w:r>
      <w:r w:rsidRPr="000F4391">
        <w:t xml:space="preserve"> technical explanation of the building’s efforts to achieve compliance with the annual building emissions limit to the maximum extent possible, including</w:t>
      </w:r>
      <w:r>
        <w:t xml:space="preserve"> an attestation from the NYC Accelerator that the building availed itself of </w:t>
      </w:r>
      <w:r w:rsidR="004E6808">
        <w:t>all city, state, federal, private, and utility incentive programs related to energy reduction or renewable energy, for which they could reasonably apply</w:t>
      </w:r>
      <w:r w:rsidR="00AF762F">
        <w:t>.</w:t>
      </w:r>
    </w:p>
    <w:p w14:paraId="3C94932A" w14:textId="3B182EC2" w:rsidR="7DA2467C" w:rsidRPr="00BF793C" w:rsidRDefault="000F4391" w:rsidP="00CF5E0F">
      <w:pPr>
        <w:contextualSpacing/>
        <w:rPr>
          <w:b/>
          <w:bCs/>
          <w:u w:val="single"/>
        </w:rPr>
      </w:pPr>
      <w:r w:rsidRPr="000F4391">
        <w:rPr>
          <w:b/>
          <w:bCs/>
          <w:u w:val="single"/>
        </w:rPr>
        <w:t>GHG coefficients for qualified generation facilities</w:t>
      </w:r>
      <w:r w:rsidR="00F0593B">
        <w:rPr>
          <w:b/>
          <w:bCs/>
          <w:u w:val="single"/>
        </w:rPr>
        <w:t xml:space="preserve"> (</w:t>
      </w:r>
      <w:r w:rsidR="002766A5">
        <w:rPr>
          <w:b/>
          <w:bCs/>
          <w:u w:val="single"/>
        </w:rPr>
        <w:t>“</w:t>
      </w:r>
      <w:proofErr w:type="spellStart"/>
      <w:r w:rsidR="00F0593B">
        <w:rPr>
          <w:b/>
          <w:bCs/>
          <w:u w:val="single"/>
        </w:rPr>
        <w:t>cogen</w:t>
      </w:r>
      <w:proofErr w:type="spellEnd"/>
      <w:r w:rsidR="002766A5">
        <w:rPr>
          <w:b/>
          <w:bCs/>
          <w:u w:val="single"/>
        </w:rPr>
        <w:t>”</w:t>
      </w:r>
      <w:r w:rsidR="00F0593B">
        <w:rPr>
          <w:b/>
          <w:bCs/>
          <w:u w:val="single"/>
        </w:rPr>
        <w:t>)</w:t>
      </w:r>
      <w:r w:rsidR="72995AED" w:rsidRPr="00BF793C">
        <w:rPr>
          <w:b/>
          <w:bCs/>
          <w:u w:val="single"/>
        </w:rPr>
        <w:t>:</w:t>
      </w:r>
    </w:p>
    <w:p w14:paraId="009E9638" w14:textId="40C737B5" w:rsidR="00084657" w:rsidRPr="00BF793C" w:rsidRDefault="30ED4200" w:rsidP="00CF5E0F">
      <w:pPr>
        <w:spacing w:after="0" w:line="240" w:lineRule="auto"/>
        <w:contextualSpacing/>
        <w:textAlignment w:val="center"/>
        <w:rPr>
          <w:rFonts w:ascii="Calibri" w:eastAsia="Times New Roman" w:hAnsi="Calibri" w:cs="Calibri"/>
        </w:rPr>
      </w:pPr>
      <w:r w:rsidRPr="00B431FF">
        <w:rPr>
          <w:b/>
          <w:bCs/>
        </w:rPr>
        <w:t>Q:</w:t>
      </w:r>
      <w:r w:rsidR="2D2B6EB0" w:rsidRPr="00BF793C">
        <w:t xml:space="preserve"> </w:t>
      </w:r>
      <w:r w:rsidR="00084657" w:rsidRPr="00BF793C">
        <w:rPr>
          <w:rFonts w:ascii="Calibri" w:eastAsia="Times New Roman" w:hAnsi="Calibri" w:cs="Calibri"/>
        </w:rPr>
        <w:t xml:space="preserve">If a </w:t>
      </w:r>
      <w:proofErr w:type="spellStart"/>
      <w:r w:rsidR="000F4391">
        <w:rPr>
          <w:rFonts w:ascii="Calibri" w:eastAsia="Times New Roman" w:hAnsi="Calibri" w:cs="Calibri"/>
        </w:rPr>
        <w:t>c</w:t>
      </w:r>
      <w:r w:rsidR="00084657" w:rsidRPr="00BF793C">
        <w:rPr>
          <w:rFonts w:ascii="Calibri" w:eastAsia="Times New Roman" w:hAnsi="Calibri" w:cs="Calibri"/>
        </w:rPr>
        <w:t>ogen</w:t>
      </w:r>
      <w:proofErr w:type="spellEnd"/>
      <w:r w:rsidR="00084657" w:rsidRPr="00BF793C">
        <w:rPr>
          <w:rFonts w:ascii="Calibri" w:eastAsia="Times New Roman" w:hAnsi="Calibri" w:cs="Calibri"/>
        </w:rPr>
        <w:t xml:space="preserve"> system and a boiler share the same gas line, how can we determine the gas used by </w:t>
      </w:r>
      <w:proofErr w:type="spellStart"/>
      <w:r w:rsidR="000F4391">
        <w:rPr>
          <w:rFonts w:ascii="Calibri" w:eastAsia="Times New Roman" w:hAnsi="Calibri" w:cs="Calibri"/>
        </w:rPr>
        <w:t>c</w:t>
      </w:r>
      <w:r w:rsidR="00084657" w:rsidRPr="00BF793C">
        <w:rPr>
          <w:rFonts w:ascii="Calibri" w:eastAsia="Times New Roman" w:hAnsi="Calibri" w:cs="Calibri"/>
        </w:rPr>
        <w:t>ogen</w:t>
      </w:r>
      <w:proofErr w:type="spellEnd"/>
      <w:r w:rsidR="00084657" w:rsidRPr="00BF793C">
        <w:rPr>
          <w:rFonts w:ascii="Calibri" w:eastAsia="Times New Roman" w:hAnsi="Calibri" w:cs="Calibri"/>
        </w:rPr>
        <w:t>?</w:t>
      </w:r>
    </w:p>
    <w:p w14:paraId="02DD7AA6" w14:textId="07C4B97A" w:rsidR="30ED4200" w:rsidRPr="00BF793C" w:rsidRDefault="30ED4200" w:rsidP="00CF5E0F">
      <w:pPr>
        <w:contextualSpacing/>
      </w:pPr>
      <w:r w:rsidRPr="00B431FF">
        <w:rPr>
          <w:b/>
          <w:bCs/>
        </w:rPr>
        <w:t>A:</w:t>
      </w:r>
      <w:r w:rsidR="323130A5" w:rsidRPr="00BF793C">
        <w:t xml:space="preserve"> </w:t>
      </w:r>
      <w:r w:rsidR="00E813ED" w:rsidRPr="00BF793C">
        <w:t xml:space="preserve">The total useful heat </w:t>
      </w:r>
      <w:r w:rsidR="005A5466" w:rsidRPr="00BF793C">
        <w:t>recovered,</w:t>
      </w:r>
      <w:r w:rsidR="00E813ED" w:rsidRPr="00BF793C">
        <w:t xml:space="preserve"> and total electricity produced by the </w:t>
      </w:r>
      <w:proofErr w:type="spellStart"/>
      <w:r w:rsidR="000F4391">
        <w:t>c</w:t>
      </w:r>
      <w:r w:rsidR="00E813ED" w:rsidRPr="00BF793C">
        <w:t>ogen</w:t>
      </w:r>
      <w:proofErr w:type="spellEnd"/>
      <w:r w:rsidR="00E813ED" w:rsidRPr="00BF793C">
        <w:t xml:space="preserve"> system</w:t>
      </w:r>
      <w:r w:rsidR="0039138C">
        <w:t>,</w:t>
      </w:r>
      <w:r w:rsidR="00E813ED" w:rsidRPr="00BF793C">
        <w:t xml:space="preserve"> must be determined to calculate the average annual system efficiency. </w:t>
      </w:r>
      <w:r w:rsidR="0060077A" w:rsidRPr="00BF793C">
        <w:t xml:space="preserve">The system will need to be </w:t>
      </w:r>
      <w:r w:rsidR="00C4263B" w:rsidRPr="00BF793C">
        <w:t>sub metered</w:t>
      </w:r>
      <w:r w:rsidR="0060077A" w:rsidRPr="00BF793C">
        <w:t xml:space="preserve"> to determine the amount of gas used by the </w:t>
      </w:r>
      <w:proofErr w:type="spellStart"/>
      <w:r w:rsidR="000F4391">
        <w:t>c</w:t>
      </w:r>
      <w:r w:rsidR="00C4263B" w:rsidRPr="00BF793C">
        <w:t>ogen</w:t>
      </w:r>
      <w:proofErr w:type="spellEnd"/>
      <w:r w:rsidR="0060077A" w:rsidRPr="00BF793C">
        <w:t xml:space="preserve"> system. If the system is not </w:t>
      </w:r>
      <w:r w:rsidR="00C4263B" w:rsidRPr="00BF793C">
        <w:t>sub metered</w:t>
      </w:r>
      <w:r w:rsidR="0060077A" w:rsidRPr="00BF793C">
        <w:t>, the RDP may use an alternative methodology to determine the gas consumption of the system</w:t>
      </w:r>
      <w:r w:rsidR="00F0593B">
        <w:t>. S</w:t>
      </w:r>
      <w:r w:rsidR="0060077A" w:rsidRPr="00BF793C">
        <w:t>upporting documentation</w:t>
      </w:r>
      <w:r w:rsidR="00F0593B">
        <w:t xml:space="preserve"> is required</w:t>
      </w:r>
      <w:r w:rsidR="0060077A" w:rsidRPr="00BF793C">
        <w:t xml:space="preserve"> to confirm </w:t>
      </w:r>
      <w:r w:rsidR="00F0593B">
        <w:t xml:space="preserve">the methodology’s </w:t>
      </w:r>
      <w:r w:rsidR="0060077A" w:rsidRPr="00BF793C">
        <w:t>assumptions.</w:t>
      </w:r>
      <w:r w:rsidR="00273505" w:rsidRPr="00BF793C">
        <w:t xml:space="preserve"> </w:t>
      </w:r>
    </w:p>
    <w:p w14:paraId="0E08EC1F" w14:textId="71534396" w:rsidR="7DA2467C" w:rsidRPr="00BF793C" w:rsidRDefault="7DA2467C" w:rsidP="00CF5E0F">
      <w:pPr>
        <w:contextualSpacing/>
      </w:pPr>
    </w:p>
    <w:p w14:paraId="0A6B109C" w14:textId="0CBC01A9" w:rsidR="30ED4200" w:rsidRPr="00BF793C" w:rsidRDefault="30ED4200" w:rsidP="00CF5E0F">
      <w:pPr>
        <w:contextualSpacing/>
      </w:pPr>
      <w:r w:rsidRPr="00B431FF">
        <w:rPr>
          <w:b/>
          <w:bCs/>
        </w:rPr>
        <w:t>Q:</w:t>
      </w:r>
      <w:r w:rsidR="1DCCA82A" w:rsidRPr="00BF793C">
        <w:t xml:space="preserve"> </w:t>
      </w:r>
      <w:r w:rsidR="00D81890" w:rsidRPr="00BF793C">
        <w:t>W</w:t>
      </w:r>
      <w:r w:rsidR="00D81890" w:rsidRPr="00BF793C">
        <w:rPr>
          <w:rFonts w:ascii="Calibri" w:hAnsi="Calibri" w:cs="Calibri"/>
        </w:rPr>
        <w:t xml:space="preserve">hat requirements will be in place for properly reporting the </w:t>
      </w:r>
      <w:proofErr w:type="spellStart"/>
      <w:r w:rsidR="00F0593B">
        <w:rPr>
          <w:rFonts w:ascii="Calibri" w:hAnsi="Calibri" w:cs="Calibri"/>
        </w:rPr>
        <w:t>cogen</w:t>
      </w:r>
      <w:proofErr w:type="spellEnd"/>
      <w:r w:rsidR="00F0593B" w:rsidRPr="00BF793C">
        <w:rPr>
          <w:rFonts w:ascii="Calibri" w:hAnsi="Calibri" w:cs="Calibri"/>
        </w:rPr>
        <w:t xml:space="preserve"> </w:t>
      </w:r>
      <w:r w:rsidR="00D81890" w:rsidRPr="00BF793C">
        <w:rPr>
          <w:rFonts w:ascii="Calibri" w:hAnsi="Calibri" w:cs="Calibri"/>
        </w:rPr>
        <w:t>output in a building?</w:t>
      </w:r>
    </w:p>
    <w:p w14:paraId="384E5181" w14:textId="23986333" w:rsidR="30ED4200" w:rsidRPr="00BF793C" w:rsidRDefault="30ED4200" w:rsidP="00CF5E0F">
      <w:pPr>
        <w:contextualSpacing/>
      </w:pPr>
      <w:r w:rsidRPr="00B431FF">
        <w:rPr>
          <w:b/>
          <w:bCs/>
        </w:rPr>
        <w:t>A:</w:t>
      </w:r>
      <w:r w:rsidR="6AF3BBDA" w:rsidRPr="00BF793C">
        <w:t xml:space="preserve"> </w:t>
      </w:r>
      <w:r w:rsidR="0060077A" w:rsidRPr="00BF793C">
        <w:t xml:space="preserve">The RDP will need to provide </w:t>
      </w:r>
      <w:r w:rsidR="00C4263B" w:rsidRPr="00BF793C">
        <w:t>sub metered</w:t>
      </w:r>
      <w:r w:rsidR="0060077A" w:rsidRPr="00BF793C">
        <w:t xml:space="preserve"> electricity and thermal output of the system. The </w:t>
      </w:r>
      <w:r w:rsidR="00F0593B">
        <w:t xml:space="preserve">LL97 </w:t>
      </w:r>
      <w:r w:rsidR="0060077A" w:rsidRPr="00BF793C">
        <w:t xml:space="preserve">reporting portal </w:t>
      </w:r>
      <w:r w:rsidR="00F0593B">
        <w:t xml:space="preserve">- </w:t>
      </w:r>
      <w:r w:rsidR="00F0593B" w:rsidRPr="00F0593B">
        <w:t xml:space="preserve">Building Energy Analysis Manager (BEAM) </w:t>
      </w:r>
      <w:r w:rsidR="00F0593B">
        <w:t xml:space="preserve">- </w:t>
      </w:r>
      <w:r w:rsidR="0060077A" w:rsidRPr="00BF793C">
        <w:t xml:space="preserve">will allow the alternative </w:t>
      </w:r>
      <w:r w:rsidR="00F0593B">
        <w:t xml:space="preserve">GHG coefficient </w:t>
      </w:r>
      <w:r w:rsidR="0060077A" w:rsidRPr="00BF793C">
        <w:t>methodology to be used and supporting documentation to be uploaded.</w:t>
      </w:r>
    </w:p>
    <w:p w14:paraId="14F16B7E" w14:textId="4B92DD75" w:rsidR="7DA2467C" w:rsidRPr="00BF793C" w:rsidRDefault="7DA2467C" w:rsidP="00CF5E0F">
      <w:pPr>
        <w:contextualSpacing/>
      </w:pPr>
    </w:p>
    <w:p w14:paraId="4B98FDD2" w14:textId="1CA7168F" w:rsidR="77B3C3FA" w:rsidRPr="00BF793C" w:rsidRDefault="77B3C3FA" w:rsidP="00CF5E0F">
      <w:pPr>
        <w:contextualSpacing/>
      </w:pPr>
      <w:r w:rsidRPr="00B431FF">
        <w:rPr>
          <w:b/>
          <w:bCs/>
        </w:rPr>
        <w:t>Q:</w:t>
      </w:r>
      <w:r w:rsidRPr="00BF793C">
        <w:t xml:space="preserve"> </w:t>
      </w:r>
      <w:r w:rsidR="00AE58AB">
        <w:t>Must</w:t>
      </w:r>
      <w:r w:rsidR="00AE58AB" w:rsidRPr="00BF793C">
        <w:t xml:space="preserve"> </w:t>
      </w:r>
      <w:r w:rsidR="00095873" w:rsidRPr="00BF793C">
        <w:t>exist</w:t>
      </w:r>
      <w:r w:rsidR="00AE58AB">
        <w:t>ing</w:t>
      </w:r>
      <w:r w:rsidR="00095873" w:rsidRPr="00BF793C">
        <w:t xml:space="preserve"> </w:t>
      </w:r>
      <w:proofErr w:type="spellStart"/>
      <w:r w:rsidR="00095873" w:rsidRPr="00BF793C">
        <w:t>cogen</w:t>
      </w:r>
      <w:proofErr w:type="spellEnd"/>
      <w:r w:rsidR="00095873" w:rsidRPr="00BF793C">
        <w:t xml:space="preserve"> systems</w:t>
      </w:r>
      <w:r w:rsidR="00AE58AB">
        <w:t xml:space="preserve"> cease operation after the phaseout or will they be able to</w:t>
      </w:r>
      <w:r w:rsidR="00095873" w:rsidRPr="00BF793C">
        <w:t xml:space="preserve"> continue to operate through their useful life? In other words, does the phaseout apply to new </w:t>
      </w:r>
      <w:proofErr w:type="spellStart"/>
      <w:r w:rsidR="00F0593B">
        <w:t>c</w:t>
      </w:r>
      <w:r w:rsidR="00C4263B" w:rsidRPr="00BF793C">
        <w:t>ogen</w:t>
      </w:r>
      <w:proofErr w:type="spellEnd"/>
      <w:r w:rsidR="00095873" w:rsidRPr="00BF793C">
        <w:t xml:space="preserve"> systems only?</w:t>
      </w:r>
    </w:p>
    <w:p w14:paraId="23E70500" w14:textId="149B04BB" w:rsidR="77B3C3FA" w:rsidRPr="00BF793C" w:rsidRDefault="77B3C3FA" w:rsidP="00CF5E0F">
      <w:pPr>
        <w:contextualSpacing/>
      </w:pPr>
      <w:r w:rsidRPr="00B431FF">
        <w:rPr>
          <w:b/>
          <w:bCs/>
        </w:rPr>
        <w:t>A:</w:t>
      </w:r>
      <w:r w:rsidR="0060077A" w:rsidRPr="00BF793C">
        <w:t xml:space="preserve"> The proposed rule does not require that </w:t>
      </w:r>
      <w:proofErr w:type="spellStart"/>
      <w:r w:rsidR="00F0593B">
        <w:t>c</w:t>
      </w:r>
      <w:r w:rsidR="00C4263B" w:rsidRPr="00BF793C">
        <w:t>ogen</w:t>
      </w:r>
      <w:proofErr w:type="spellEnd"/>
      <w:r w:rsidR="0060077A" w:rsidRPr="00BF793C">
        <w:t xml:space="preserve"> systems discontinue operation. The proposed rule </w:t>
      </w:r>
      <w:r w:rsidR="00F0593B">
        <w:t>provides</w:t>
      </w:r>
      <w:r w:rsidR="0060077A" w:rsidRPr="00BF793C">
        <w:t xml:space="preserve"> </w:t>
      </w:r>
      <w:r w:rsidR="00F0593B">
        <w:t xml:space="preserve">an </w:t>
      </w:r>
      <w:r w:rsidR="0060077A" w:rsidRPr="00BF793C">
        <w:t xml:space="preserve">alternative </w:t>
      </w:r>
      <w:r w:rsidR="00F0593B">
        <w:t>methodology (</w:t>
      </w:r>
      <w:r w:rsidR="00F0593B" w:rsidRPr="00F0593B">
        <w:t>GHG coefficient</w:t>
      </w:r>
      <w:r w:rsidR="00F0593B">
        <w:t>)</w:t>
      </w:r>
      <w:r w:rsidR="00F0593B" w:rsidRPr="00F0593B">
        <w:t xml:space="preserve"> for qualified generation facilities </w:t>
      </w:r>
      <w:r w:rsidR="00F0593B">
        <w:t>that may be used</w:t>
      </w:r>
      <w:r w:rsidR="00F0593B" w:rsidRPr="00F0593B">
        <w:t xml:space="preserve"> until such systems are no longer cleaner than the grid</w:t>
      </w:r>
      <w:r w:rsidR="00F0593B">
        <w:t>,</w:t>
      </w:r>
      <w:r w:rsidR="00F0593B" w:rsidRPr="00F0593B">
        <w:t xml:space="preserve"> based on the annual operating efficiency of the system</w:t>
      </w:r>
      <w:r w:rsidR="0060077A" w:rsidRPr="00BF793C">
        <w:t xml:space="preserve">. The </w:t>
      </w:r>
      <w:r w:rsidR="00E813ED" w:rsidRPr="00BF793C">
        <w:t>alternative</w:t>
      </w:r>
      <w:r w:rsidR="0060077A" w:rsidRPr="00BF793C">
        <w:t xml:space="preserve"> methodology only applies to </w:t>
      </w:r>
      <w:proofErr w:type="spellStart"/>
      <w:r w:rsidR="00F0593B">
        <w:t>c</w:t>
      </w:r>
      <w:r w:rsidR="00C4263B" w:rsidRPr="00BF793C">
        <w:t>ogen</w:t>
      </w:r>
      <w:proofErr w:type="spellEnd"/>
      <w:r w:rsidR="0060077A" w:rsidRPr="00BF793C">
        <w:t xml:space="preserve"> systems permitted prior to September 1, 2024.</w:t>
      </w:r>
    </w:p>
    <w:p w14:paraId="499F56A1" w14:textId="3CA0AA98" w:rsidR="19FB8DAC" w:rsidRPr="00BF793C" w:rsidRDefault="19FB8DAC" w:rsidP="00CF5E0F">
      <w:pPr>
        <w:contextualSpacing/>
      </w:pPr>
    </w:p>
    <w:p w14:paraId="6DD4FD54" w14:textId="5C32B826" w:rsidR="77B3C3FA" w:rsidRPr="00BF793C" w:rsidRDefault="77B3C3FA" w:rsidP="00CF5E0F">
      <w:pPr>
        <w:contextualSpacing/>
      </w:pPr>
      <w:r w:rsidRPr="00B431FF">
        <w:rPr>
          <w:b/>
          <w:bCs/>
        </w:rPr>
        <w:t>Q:</w:t>
      </w:r>
      <w:r w:rsidRPr="00BF793C">
        <w:t xml:space="preserve"> </w:t>
      </w:r>
      <w:r w:rsidR="005A7DF4" w:rsidRPr="00BF793C">
        <w:rPr>
          <w:rFonts w:ascii="Calibri" w:hAnsi="Calibri" w:cs="Calibri"/>
        </w:rPr>
        <w:t xml:space="preserve">For the </w:t>
      </w:r>
      <w:proofErr w:type="spellStart"/>
      <w:r w:rsidR="00F0593B">
        <w:rPr>
          <w:rFonts w:ascii="Calibri" w:hAnsi="Calibri" w:cs="Calibri"/>
        </w:rPr>
        <w:t>c</w:t>
      </w:r>
      <w:r w:rsidR="005A7DF4" w:rsidRPr="00BF793C">
        <w:rPr>
          <w:rFonts w:ascii="Calibri" w:hAnsi="Calibri" w:cs="Calibri"/>
        </w:rPr>
        <w:t>ogen</w:t>
      </w:r>
      <w:proofErr w:type="spellEnd"/>
      <w:r w:rsidR="005A7DF4" w:rsidRPr="00BF793C">
        <w:rPr>
          <w:rFonts w:ascii="Calibri" w:hAnsi="Calibri" w:cs="Calibri"/>
        </w:rPr>
        <w:t xml:space="preserve"> methodology, does the grid emissions consider baseline conditions, or marginal conditions (when </w:t>
      </w:r>
      <w:proofErr w:type="spellStart"/>
      <w:r w:rsidR="005A7DF4" w:rsidRPr="00BF793C">
        <w:rPr>
          <w:rFonts w:ascii="Calibri" w:hAnsi="Calibri" w:cs="Calibri"/>
        </w:rPr>
        <w:t>peaker</w:t>
      </w:r>
      <w:proofErr w:type="spellEnd"/>
      <w:r w:rsidR="005A7DF4" w:rsidRPr="00BF793C">
        <w:rPr>
          <w:rFonts w:ascii="Calibri" w:hAnsi="Calibri" w:cs="Calibri"/>
        </w:rPr>
        <w:t xml:space="preserve"> plants might be needed to meet demand)?</w:t>
      </w:r>
    </w:p>
    <w:p w14:paraId="246A523F" w14:textId="5064F4A5" w:rsidR="0060077A" w:rsidRDefault="77B3C3FA" w:rsidP="00CF5E0F">
      <w:pPr>
        <w:contextualSpacing/>
      </w:pPr>
      <w:r w:rsidRPr="00B431FF">
        <w:rPr>
          <w:b/>
          <w:bCs/>
        </w:rPr>
        <w:t>A:</w:t>
      </w:r>
      <w:r w:rsidR="0060077A" w:rsidRPr="00BF793C">
        <w:t xml:space="preserve"> The alternative </w:t>
      </w:r>
      <w:proofErr w:type="spellStart"/>
      <w:r w:rsidR="00F0593B">
        <w:t>c</w:t>
      </w:r>
      <w:r w:rsidR="00C4263B" w:rsidRPr="00BF793C">
        <w:t>ogen</w:t>
      </w:r>
      <w:proofErr w:type="spellEnd"/>
      <w:r w:rsidR="0060077A" w:rsidRPr="00BF793C">
        <w:t xml:space="preserve"> methodology considers annual emissions, not marginal conditions. </w:t>
      </w:r>
      <w:r w:rsidR="00F0593B">
        <w:t>Note, o</w:t>
      </w:r>
      <w:r w:rsidR="00E813ED" w:rsidRPr="00BF793C">
        <w:t>wners may choose to report LL97 emissions using t</w:t>
      </w:r>
      <w:r w:rsidR="0060077A" w:rsidRPr="00BF793C">
        <w:t>he Time of Use methodology</w:t>
      </w:r>
      <w:r w:rsidR="00E813ED" w:rsidRPr="00BF793C">
        <w:t>, which</w:t>
      </w:r>
      <w:r w:rsidR="0060077A" w:rsidRPr="00BF793C">
        <w:t xml:space="preserve"> considers marginal conditions.</w:t>
      </w:r>
    </w:p>
    <w:p w14:paraId="12781B1C" w14:textId="6673AA10" w:rsidR="19FB8DAC" w:rsidRDefault="19FB8DAC" w:rsidP="00CF5E0F">
      <w:pPr>
        <w:contextualSpacing/>
      </w:pPr>
    </w:p>
    <w:p w14:paraId="166C7BA8" w14:textId="2EF1BE70" w:rsidR="7DA2467C" w:rsidRPr="008B7BE2" w:rsidRDefault="00C90EF1" w:rsidP="00CF5E0F">
      <w:pPr>
        <w:contextualSpacing/>
        <w:rPr>
          <w:b/>
          <w:bCs/>
          <w:u w:val="single"/>
        </w:rPr>
      </w:pPr>
      <w:r w:rsidRPr="00C90EF1">
        <w:rPr>
          <w:b/>
          <w:bCs/>
          <w:u w:val="single"/>
        </w:rPr>
        <w:t>Filing Fees</w:t>
      </w:r>
      <w:r w:rsidR="4B1AD3CE" w:rsidRPr="00C90EF1">
        <w:rPr>
          <w:b/>
          <w:bCs/>
          <w:u w:val="single"/>
        </w:rPr>
        <w:t>:</w:t>
      </w:r>
    </w:p>
    <w:p w14:paraId="089E2357" w14:textId="58476AA5" w:rsidR="4B1AD3CE" w:rsidRDefault="4B1AD3CE" w:rsidP="00CF5E0F">
      <w:pPr>
        <w:contextualSpacing/>
      </w:pPr>
      <w:r w:rsidRPr="00B431FF">
        <w:rPr>
          <w:b/>
          <w:bCs/>
        </w:rPr>
        <w:t>Q:</w:t>
      </w:r>
      <w:r>
        <w:t xml:space="preserve"> </w:t>
      </w:r>
      <w:r w:rsidR="00E9736E">
        <w:rPr>
          <w:rFonts w:ascii="Calibri" w:hAnsi="Calibri" w:cs="Calibri"/>
        </w:rPr>
        <w:t>Filing fees are different for simple vs complex reports. What is the definition of each of those?</w:t>
      </w:r>
    </w:p>
    <w:p w14:paraId="4445035E" w14:textId="1F1D416F" w:rsidR="4B1AD3CE" w:rsidRDefault="4B1AD3CE" w:rsidP="00CF5E0F">
      <w:pPr>
        <w:contextualSpacing/>
      </w:pPr>
      <w:r w:rsidRPr="00B431FF">
        <w:rPr>
          <w:b/>
          <w:bCs/>
        </w:rPr>
        <w:t>A:</w:t>
      </w:r>
      <w:r>
        <w:t xml:space="preserve"> </w:t>
      </w:r>
      <w:hyperlink r:id="rId10" w:history="1">
        <w:r w:rsidR="00391DB7" w:rsidRPr="00391DB7">
          <w:rPr>
            <w:rStyle w:val="Hyperlink"/>
          </w:rPr>
          <w:t xml:space="preserve">See this </w:t>
        </w:r>
        <w:r w:rsidR="00E9736E" w:rsidRPr="00391DB7">
          <w:rPr>
            <w:rStyle w:val="Hyperlink"/>
          </w:rPr>
          <w:t xml:space="preserve">brief on the </w:t>
        </w:r>
        <w:r w:rsidR="00391DB7" w:rsidRPr="00391DB7">
          <w:rPr>
            <w:rStyle w:val="Hyperlink"/>
          </w:rPr>
          <w:t xml:space="preserve">LL97 </w:t>
        </w:r>
        <w:r w:rsidR="00E9736E" w:rsidRPr="00391DB7">
          <w:rPr>
            <w:rStyle w:val="Hyperlink"/>
          </w:rPr>
          <w:t xml:space="preserve">reporting </w:t>
        </w:r>
        <w:r w:rsidR="00391DB7" w:rsidRPr="00391DB7">
          <w:rPr>
            <w:rStyle w:val="Hyperlink"/>
          </w:rPr>
          <w:t>process for more information</w:t>
        </w:r>
      </w:hyperlink>
      <w:r w:rsidR="00E9736E" w:rsidRPr="00E9736E">
        <w:t>.  A simple report is one building on a lot that is not</w:t>
      </w:r>
      <w:r w:rsidR="00D21556">
        <w:t xml:space="preserve"> sharing energy systems or</w:t>
      </w:r>
      <w:r w:rsidR="00E9736E" w:rsidRPr="00E9736E">
        <w:t xml:space="preserve"> </w:t>
      </w:r>
      <w:r w:rsidR="00391DB7">
        <w:t>utilizing</w:t>
      </w:r>
      <w:r w:rsidR="00391DB7" w:rsidRPr="00E9736E">
        <w:t xml:space="preserve"> </w:t>
      </w:r>
      <w:r w:rsidR="00E9736E" w:rsidRPr="00E9736E">
        <w:t>deductions</w:t>
      </w:r>
      <w:r w:rsidR="00A85E50">
        <w:t xml:space="preserve"> other than offsets and/or </w:t>
      </w:r>
      <w:proofErr w:type="spellStart"/>
      <w:r w:rsidR="00A85E50">
        <w:t>RECs</w:t>
      </w:r>
      <w:r w:rsidR="00E9736E" w:rsidRPr="00E9736E">
        <w:t>.</w:t>
      </w:r>
      <w:proofErr w:type="spellEnd"/>
      <w:r w:rsidR="00E9736E" w:rsidRPr="00E9736E">
        <w:t xml:space="preserve">  All </w:t>
      </w:r>
      <w:r w:rsidR="002E44F6">
        <w:t>other reports</w:t>
      </w:r>
      <w:r w:rsidR="00E9736E" w:rsidRPr="00E9736E">
        <w:t xml:space="preserve"> are</w:t>
      </w:r>
      <w:r w:rsidR="002E44F6">
        <w:t xml:space="preserve"> considered</w:t>
      </w:r>
      <w:r w:rsidR="00E9736E" w:rsidRPr="00E9736E">
        <w:t xml:space="preserve"> comp</w:t>
      </w:r>
      <w:r w:rsidR="00E9736E">
        <w:t>l</w:t>
      </w:r>
      <w:r w:rsidR="00E9736E" w:rsidRPr="00E9736E">
        <w:t>ex.</w:t>
      </w:r>
    </w:p>
    <w:p w14:paraId="423CBEDC" w14:textId="732147A2" w:rsidR="5C10B996" w:rsidRDefault="5C10B996" w:rsidP="00CF5E0F">
      <w:pPr>
        <w:contextualSpacing/>
      </w:pPr>
    </w:p>
    <w:p w14:paraId="26BED14A" w14:textId="0E83E40B" w:rsidR="1770D592" w:rsidRDefault="1770D592" w:rsidP="00CF5E0F">
      <w:pPr>
        <w:contextualSpacing/>
      </w:pPr>
      <w:r>
        <w:t xml:space="preserve">Q: </w:t>
      </w:r>
      <w:r w:rsidR="00D21556">
        <w:rPr>
          <w:rFonts w:ascii="Calibri" w:hAnsi="Calibri" w:cs="Calibri"/>
        </w:rPr>
        <w:t>Is an</w:t>
      </w:r>
      <w:r w:rsidR="000A5AC1">
        <w:rPr>
          <w:rFonts w:ascii="Calibri" w:hAnsi="Calibri" w:cs="Calibri"/>
        </w:rPr>
        <w:t xml:space="preserve"> extension </w:t>
      </w:r>
      <w:r w:rsidR="00D21556">
        <w:rPr>
          <w:rFonts w:ascii="Calibri" w:hAnsi="Calibri" w:cs="Calibri"/>
        </w:rPr>
        <w:t xml:space="preserve">required to be filed </w:t>
      </w:r>
      <w:r w:rsidR="000A5AC1">
        <w:rPr>
          <w:rFonts w:ascii="Calibri" w:hAnsi="Calibri" w:cs="Calibri"/>
        </w:rPr>
        <w:t xml:space="preserve">for Article 321 </w:t>
      </w:r>
      <w:r w:rsidR="00D21556">
        <w:rPr>
          <w:rFonts w:ascii="Calibri" w:hAnsi="Calibri" w:cs="Calibri"/>
        </w:rPr>
        <w:t xml:space="preserve">buildings where the </w:t>
      </w:r>
      <w:r w:rsidR="000A5AC1">
        <w:rPr>
          <w:rFonts w:ascii="Calibri" w:hAnsi="Calibri" w:cs="Calibri"/>
        </w:rPr>
        <w:t>12/31/2024 construction</w:t>
      </w:r>
      <w:r w:rsidR="00D21556">
        <w:rPr>
          <w:rFonts w:ascii="Calibri" w:hAnsi="Calibri" w:cs="Calibri"/>
        </w:rPr>
        <w:t xml:space="preserve"> is not met but will be by the</w:t>
      </w:r>
      <w:r w:rsidR="000A5AC1">
        <w:rPr>
          <w:rFonts w:ascii="Calibri" w:hAnsi="Calibri" w:cs="Calibri"/>
        </w:rPr>
        <w:t xml:space="preserve"> 1st report filing due on May 1, 2025?</w:t>
      </w:r>
    </w:p>
    <w:p w14:paraId="3660C8B7" w14:textId="54D2E343" w:rsidR="1770D592" w:rsidRDefault="1770D592" w:rsidP="00CF5E0F">
      <w:pPr>
        <w:contextualSpacing/>
      </w:pPr>
      <w:r>
        <w:t xml:space="preserve">A: </w:t>
      </w:r>
      <w:r w:rsidR="00D21556">
        <w:t xml:space="preserve">As long as the construction is complete and attested to by the </w:t>
      </w:r>
      <w:r w:rsidR="004F5A1E">
        <w:t>May 1</w:t>
      </w:r>
      <w:proofErr w:type="gramStart"/>
      <w:r w:rsidR="004F5A1E">
        <w:t xml:space="preserve"> 2025</w:t>
      </w:r>
      <w:proofErr w:type="gramEnd"/>
      <w:r w:rsidR="004F5A1E">
        <w:t xml:space="preserve"> </w:t>
      </w:r>
      <w:r w:rsidR="00D21556">
        <w:t xml:space="preserve">reporting date, an extension is not required. </w:t>
      </w:r>
    </w:p>
    <w:p w14:paraId="07E991B4" w14:textId="5A101272" w:rsidR="5C10B996" w:rsidRDefault="5C10B996" w:rsidP="00CF5E0F">
      <w:pPr>
        <w:contextualSpacing/>
      </w:pPr>
    </w:p>
    <w:p w14:paraId="5A5DAE4B" w14:textId="7319995B" w:rsidR="5CF1D7AB" w:rsidRPr="008B7BE2" w:rsidRDefault="000A5AC1" w:rsidP="00CF5E0F">
      <w:pPr>
        <w:contextualSpacing/>
        <w:rPr>
          <w:b/>
          <w:bCs/>
          <w:u w:val="single"/>
        </w:rPr>
      </w:pPr>
      <w:r w:rsidRPr="008B7BE2">
        <w:rPr>
          <w:b/>
          <w:bCs/>
          <w:u w:val="single"/>
        </w:rPr>
        <w:t>LL87</w:t>
      </w:r>
      <w:r w:rsidR="5CF1D7AB" w:rsidRPr="008B7BE2">
        <w:rPr>
          <w:b/>
          <w:bCs/>
          <w:u w:val="single"/>
        </w:rPr>
        <w:t>:</w:t>
      </w:r>
    </w:p>
    <w:p w14:paraId="7A7BA97C" w14:textId="744D0BE6" w:rsidR="5CF1D7AB" w:rsidRDefault="5CF1D7AB" w:rsidP="00CF5E0F">
      <w:pPr>
        <w:contextualSpacing/>
      </w:pPr>
      <w:r w:rsidRPr="00B431FF">
        <w:rPr>
          <w:b/>
          <w:bCs/>
        </w:rPr>
        <w:t>Q:</w:t>
      </w:r>
      <w:r>
        <w:t xml:space="preserve"> </w:t>
      </w:r>
      <w:r w:rsidR="00260039">
        <w:rPr>
          <w:rFonts w:ascii="Calibri" w:hAnsi="Calibri" w:cs="Calibri"/>
        </w:rPr>
        <w:t>For the LL87 amendment, does this only apply to buildings that also qualify for LL97 or is it across the board?</w:t>
      </w:r>
    </w:p>
    <w:p w14:paraId="61FFEFFC" w14:textId="76739B1C" w:rsidR="5CF1D7AB" w:rsidRPr="002766A5" w:rsidRDefault="5CF1D7AB" w:rsidP="00CF5E0F">
      <w:pPr>
        <w:contextualSpacing/>
        <w:rPr>
          <w:rFonts w:cstheme="minorHAnsi"/>
        </w:rPr>
      </w:pPr>
      <w:r w:rsidRPr="00B431FF">
        <w:rPr>
          <w:b/>
          <w:bCs/>
        </w:rPr>
        <w:t>A:</w:t>
      </w:r>
      <w:r w:rsidR="4520D2B9">
        <w:t xml:space="preserve"> </w:t>
      </w:r>
      <w:r w:rsidR="002766A5">
        <w:t xml:space="preserve">The </w:t>
      </w:r>
      <w:r w:rsidR="002766A5" w:rsidRPr="002766A5">
        <w:rPr>
          <w:rFonts w:cstheme="minorHAnsi"/>
        </w:rPr>
        <w:t>amendments to 1 RCNY</w:t>
      </w:r>
      <w:r w:rsidR="002766A5" w:rsidRPr="00B431FF">
        <w:rPr>
          <w:rFonts w:eastAsia="Times New Roman" w:cstheme="minorHAnsi"/>
        </w:rPr>
        <w:t xml:space="preserve"> § 103-07</w:t>
      </w:r>
      <w:r w:rsidR="002766A5" w:rsidRPr="002766A5">
        <w:rPr>
          <w:rFonts w:cstheme="minorHAnsi"/>
        </w:rPr>
        <w:t xml:space="preserve"> </w:t>
      </w:r>
      <w:r w:rsidR="002766A5">
        <w:rPr>
          <w:rFonts w:cstheme="minorHAnsi"/>
        </w:rPr>
        <w:t>apply</w:t>
      </w:r>
      <w:r w:rsidR="00316D5D" w:rsidRPr="002766A5">
        <w:rPr>
          <w:rFonts w:cstheme="minorHAnsi"/>
        </w:rPr>
        <w:t xml:space="preserve"> to all covered buildings under LL87</w:t>
      </w:r>
      <w:r w:rsidR="00D21556" w:rsidRPr="002766A5">
        <w:rPr>
          <w:rFonts w:cstheme="minorHAnsi"/>
        </w:rPr>
        <w:t>. For buildings that have filed LL87</w:t>
      </w:r>
      <w:r w:rsidR="002E44F6">
        <w:rPr>
          <w:rFonts w:cstheme="minorHAnsi"/>
        </w:rPr>
        <w:t xml:space="preserve"> reports</w:t>
      </w:r>
      <w:r w:rsidR="00D21556" w:rsidRPr="002766A5">
        <w:rPr>
          <w:rFonts w:cstheme="minorHAnsi"/>
        </w:rPr>
        <w:t xml:space="preserve"> in the past and have </w:t>
      </w:r>
      <w:r w:rsidR="002766A5">
        <w:rPr>
          <w:rFonts w:cstheme="minorHAnsi"/>
        </w:rPr>
        <w:t>accrued violations with unpaid penalties</w:t>
      </w:r>
      <w:r w:rsidR="00D21556" w:rsidRPr="002766A5">
        <w:rPr>
          <w:rFonts w:cstheme="minorHAnsi"/>
        </w:rPr>
        <w:t xml:space="preserve">, those </w:t>
      </w:r>
      <w:r w:rsidR="002766A5">
        <w:rPr>
          <w:rFonts w:cstheme="minorHAnsi"/>
        </w:rPr>
        <w:t xml:space="preserve">violations remain </w:t>
      </w:r>
      <w:proofErr w:type="gramStart"/>
      <w:r w:rsidR="002766A5">
        <w:rPr>
          <w:rFonts w:cstheme="minorHAnsi"/>
        </w:rPr>
        <w:t>open</w:t>
      </w:r>
      <w:proofErr w:type="gramEnd"/>
      <w:r w:rsidR="002766A5">
        <w:rPr>
          <w:rFonts w:cstheme="minorHAnsi"/>
        </w:rPr>
        <w:t xml:space="preserve"> and </w:t>
      </w:r>
      <w:r w:rsidR="00870D4F" w:rsidRPr="002766A5">
        <w:rPr>
          <w:rFonts w:cstheme="minorHAnsi"/>
        </w:rPr>
        <w:t xml:space="preserve">penalties </w:t>
      </w:r>
      <w:r w:rsidR="002766A5">
        <w:rPr>
          <w:rFonts w:cstheme="minorHAnsi"/>
        </w:rPr>
        <w:t>are required to be paid</w:t>
      </w:r>
      <w:r w:rsidR="00D21556" w:rsidRPr="002766A5">
        <w:rPr>
          <w:rFonts w:cstheme="minorHAnsi"/>
        </w:rPr>
        <w:t>.</w:t>
      </w:r>
    </w:p>
    <w:p w14:paraId="735409AC" w14:textId="77777777" w:rsidR="00260039" w:rsidRDefault="00260039" w:rsidP="00CF5E0F">
      <w:pPr>
        <w:contextualSpacing/>
      </w:pPr>
    </w:p>
    <w:p w14:paraId="2A0AD200" w14:textId="44C189B2" w:rsidR="00260039" w:rsidRDefault="00260039" w:rsidP="00CF5E0F">
      <w:pPr>
        <w:contextualSpacing/>
      </w:pPr>
      <w:r w:rsidRPr="00B431FF">
        <w:rPr>
          <w:b/>
          <w:bCs/>
        </w:rPr>
        <w:t>Q:</w:t>
      </w:r>
      <w:r>
        <w:t xml:space="preserve"> </w:t>
      </w:r>
      <w:r w:rsidR="003D2B43">
        <w:rPr>
          <w:rFonts w:ascii="Calibri" w:hAnsi="Calibri" w:cs="Calibri"/>
        </w:rPr>
        <w:t xml:space="preserve">Is LL87 still done on the BBL? or planning to move it to BIN level </w:t>
      </w:r>
      <w:proofErr w:type="gramStart"/>
      <w:r w:rsidR="003D2B43">
        <w:rPr>
          <w:rFonts w:ascii="Calibri" w:hAnsi="Calibri" w:cs="Calibri"/>
        </w:rPr>
        <w:t>similar to</w:t>
      </w:r>
      <w:proofErr w:type="gramEnd"/>
      <w:r w:rsidR="003D2B43">
        <w:rPr>
          <w:rFonts w:ascii="Calibri" w:hAnsi="Calibri" w:cs="Calibri"/>
        </w:rPr>
        <w:t xml:space="preserve"> LL97?</w:t>
      </w:r>
    </w:p>
    <w:p w14:paraId="52C2AF08" w14:textId="39655509" w:rsidR="00260039" w:rsidRDefault="00260039" w:rsidP="00CF5E0F">
      <w:pPr>
        <w:contextualSpacing/>
      </w:pPr>
      <w:r w:rsidRPr="00B431FF">
        <w:rPr>
          <w:b/>
          <w:bCs/>
        </w:rPr>
        <w:t>A:</w:t>
      </w:r>
      <w:r>
        <w:t xml:space="preserve"> </w:t>
      </w:r>
      <w:r w:rsidR="00391DB7">
        <w:t xml:space="preserve">LL87 </w:t>
      </w:r>
      <w:r w:rsidR="00391DB7" w:rsidRPr="00391DB7">
        <w:t>compliance is required for each BIN on a BBL where the buildings together or separately meet the square foot threshold</w:t>
      </w:r>
      <w:r w:rsidR="008F3A5F">
        <w:t>.</w:t>
      </w:r>
    </w:p>
    <w:p w14:paraId="48229D0A" w14:textId="7727E150" w:rsidR="4E0F9AC4" w:rsidRDefault="4E0F9AC4" w:rsidP="00CF5E0F">
      <w:pPr>
        <w:contextualSpacing/>
        <w:rPr>
          <w:b/>
          <w:bCs/>
          <w:u w:val="single"/>
        </w:rPr>
      </w:pPr>
    </w:p>
    <w:p w14:paraId="60A182AE" w14:textId="15F3AF1B" w:rsidR="0B5CFC97" w:rsidRDefault="0B5CFC97" w:rsidP="00CF5E0F">
      <w:pPr>
        <w:contextualSpacing/>
      </w:pPr>
    </w:p>
    <w:sectPr w:rsidR="0B5CFC9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E2A85" w14:textId="77777777" w:rsidR="006F7229" w:rsidRDefault="006F7229">
      <w:pPr>
        <w:spacing w:after="0" w:line="240" w:lineRule="auto"/>
      </w:pPr>
      <w:r>
        <w:separator/>
      </w:r>
    </w:p>
  </w:endnote>
  <w:endnote w:type="continuationSeparator" w:id="0">
    <w:p w14:paraId="7BD19474" w14:textId="77777777" w:rsidR="006F7229" w:rsidRDefault="006F7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69605ED" w14:paraId="3CE424FB" w14:textId="77777777" w:rsidTr="769605ED">
      <w:trPr>
        <w:trHeight w:val="300"/>
      </w:trPr>
      <w:tc>
        <w:tcPr>
          <w:tcW w:w="3120" w:type="dxa"/>
        </w:tcPr>
        <w:p w14:paraId="1FA25044" w14:textId="545FB1EE" w:rsidR="769605ED" w:rsidRDefault="769605ED" w:rsidP="769605ED">
          <w:pPr>
            <w:pStyle w:val="Header"/>
            <w:ind w:left="-115"/>
          </w:pPr>
        </w:p>
      </w:tc>
      <w:tc>
        <w:tcPr>
          <w:tcW w:w="3120" w:type="dxa"/>
        </w:tcPr>
        <w:p w14:paraId="76700A93" w14:textId="59986588" w:rsidR="769605ED" w:rsidRDefault="769605ED" w:rsidP="769605ED">
          <w:pPr>
            <w:pStyle w:val="Header"/>
            <w:jc w:val="center"/>
          </w:pPr>
        </w:p>
      </w:tc>
      <w:tc>
        <w:tcPr>
          <w:tcW w:w="3120" w:type="dxa"/>
        </w:tcPr>
        <w:p w14:paraId="32C71CC3" w14:textId="503731D1" w:rsidR="769605ED" w:rsidRDefault="769605ED" w:rsidP="769605ED">
          <w:pPr>
            <w:pStyle w:val="Header"/>
            <w:ind w:right="-115"/>
            <w:jc w:val="right"/>
          </w:pPr>
        </w:p>
      </w:tc>
    </w:tr>
  </w:tbl>
  <w:p w14:paraId="60F9A1CF" w14:textId="4B1E21F8" w:rsidR="769605ED" w:rsidRDefault="769605ED" w:rsidP="76960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8B581" w14:textId="77777777" w:rsidR="006F7229" w:rsidRDefault="006F7229">
      <w:pPr>
        <w:spacing w:after="0" w:line="240" w:lineRule="auto"/>
      </w:pPr>
      <w:r>
        <w:separator/>
      </w:r>
    </w:p>
  </w:footnote>
  <w:footnote w:type="continuationSeparator" w:id="0">
    <w:p w14:paraId="2A795DCE" w14:textId="77777777" w:rsidR="006F7229" w:rsidRDefault="006F7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69605ED" w14:paraId="4F2CA77E" w14:textId="77777777" w:rsidTr="769605ED">
      <w:trPr>
        <w:trHeight w:val="300"/>
      </w:trPr>
      <w:tc>
        <w:tcPr>
          <w:tcW w:w="3120" w:type="dxa"/>
        </w:tcPr>
        <w:p w14:paraId="4FE74B68" w14:textId="31F9BD63" w:rsidR="769605ED" w:rsidRDefault="769605ED" w:rsidP="769605ED">
          <w:pPr>
            <w:pStyle w:val="Header"/>
            <w:ind w:left="-115"/>
          </w:pPr>
        </w:p>
      </w:tc>
      <w:tc>
        <w:tcPr>
          <w:tcW w:w="3120" w:type="dxa"/>
        </w:tcPr>
        <w:p w14:paraId="6CF20390" w14:textId="3265EB98" w:rsidR="769605ED" w:rsidRDefault="769605ED" w:rsidP="769605ED">
          <w:pPr>
            <w:pStyle w:val="Header"/>
            <w:jc w:val="center"/>
          </w:pPr>
        </w:p>
      </w:tc>
      <w:tc>
        <w:tcPr>
          <w:tcW w:w="3120" w:type="dxa"/>
        </w:tcPr>
        <w:p w14:paraId="5E193D29" w14:textId="77C466A2" w:rsidR="769605ED" w:rsidRDefault="769605ED" w:rsidP="769605ED">
          <w:pPr>
            <w:pStyle w:val="Header"/>
            <w:ind w:right="-115"/>
            <w:jc w:val="right"/>
          </w:pPr>
        </w:p>
      </w:tc>
    </w:tr>
  </w:tbl>
  <w:p w14:paraId="2E03604C" w14:textId="43FD1624" w:rsidR="769605ED" w:rsidRDefault="769605ED" w:rsidP="769605ED">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292E"/>
    <w:multiLevelType w:val="multilevel"/>
    <w:tmpl w:val="E6DE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843D7A"/>
    <w:multiLevelType w:val="hybridMultilevel"/>
    <w:tmpl w:val="DD06CA78"/>
    <w:lvl w:ilvl="0" w:tplc="D62E3AB6">
      <w:start w:val="1"/>
      <w:numFmt w:val="bullet"/>
      <w:lvlText w:val="-"/>
      <w:lvlJc w:val="left"/>
      <w:pPr>
        <w:ind w:left="720" w:hanging="360"/>
      </w:pPr>
      <w:rPr>
        <w:rFonts w:ascii="Calibri" w:hAnsi="Calibri" w:hint="default"/>
      </w:rPr>
    </w:lvl>
    <w:lvl w:ilvl="1" w:tplc="D65C03EC">
      <w:start w:val="1"/>
      <w:numFmt w:val="bullet"/>
      <w:lvlText w:val="o"/>
      <w:lvlJc w:val="left"/>
      <w:pPr>
        <w:ind w:left="1440" w:hanging="360"/>
      </w:pPr>
      <w:rPr>
        <w:rFonts w:ascii="Courier New" w:hAnsi="Courier New" w:hint="default"/>
      </w:rPr>
    </w:lvl>
    <w:lvl w:ilvl="2" w:tplc="DFA447F0">
      <w:start w:val="1"/>
      <w:numFmt w:val="bullet"/>
      <w:lvlText w:val=""/>
      <w:lvlJc w:val="left"/>
      <w:pPr>
        <w:ind w:left="2160" w:hanging="360"/>
      </w:pPr>
      <w:rPr>
        <w:rFonts w:ascii="Wingdings" w:hAnsi="Wingdings" w:hint="default"/>
      </w:rPr>
    </w:lvl>
    <w:lvl w:ilvl="3" w:tplc="388E1738">
      <w:start w:val="1"/>
      <w:numFmt w:val="bullet"/>
      <w:lvlText w:val=""/>
      <w:lvlJc w:val="left"/>
      <w:pPr>
        <w:ind w:left="2880" w:hanging="360"/>
      </w:pPr>
      <w:rPr>
        <w:rFonts w:ascii="Symbol" w:hAnsi="Symbol" w:hint="default"/>
      </w:rPr>
    </w:lvl>
    <w:lvl w:ilvl="4" w:tplc="1064144E">
      <w:start w:val="1"/>
      <w:numFmt w:val="bullet"/>
      <w:lvlText w:val="o"/>
      <w:lvlJc w:val="left"/>
      <w:pPr>
        <w:ind w:left="3600" w:hanging="360"/>
      </w:pPr>
      <w:rPr>
        <w:rFonts w:ascii="Courier New" w:hAnsi="Courier New" w:hint="default"/>
      </w:rPr>
    </w:lvl>
    <w:lvl w:ilvl="5" w:tplc="3DD6A864">
      <w:start w:val="1"/>
      <w:numFmt w:val="bullet"/>
      <w:lvlText w:val=""/>
      <w:lvlJc w:val="left"/>
      <w:pPr>
        <w:ind w:left="4320" w:hanging="360"/>
      </w:pPr>
      <w:rPr>
        <w:rFonts w:ascii="Wingdings" w:hAnsi="Wingdings" w:hint="default"/>
      </w:rPr>
    </w:lvl>
    <w:lvl w:ilvl="6" w:tplc="AAF405C6">
      <w:start w:val="1"/>
      <w:numFmt w:val="bullet"/>
      <w:lvlText w:val=""/>
      <w:lvlJc w:val="left"/>
      <w:pPr>
        <w:ind w:left="5040" w:hanging="360"/>
      </w:pPr>
      <w:rPr>
        <w:rFonts w:ascii="Symbol" w:hAnsi="Symbol" w:hint="default"/>
      </w:rPr>
    </w:lvl>
    <w:lvl w:ilvl="7" w:tplc="EF9A93A8">
      <w:start w:val="1"/>
      <w:numFmt w:val="bullet"/>
      <w:lvlText w:val="o"/>
      <w:lvlJc w:val="left"/>
      <w:pPr>
        <w:ind w:left="5760" w:hanging="360"/>
      </w:pPr>
      <w:rPr>
        <w:rFonts w:ascii="Courier New" w:hAnsi="Courier New" w:hint="default"/>
      </w:rPr>
    </w:lvl>
    <w:lvl w:ilvl="8" w:tplc="41444406">
      <w:start w:val="1"/>
      <w:numFmt w:val="bullet"/>
      <w:lvlText w:val=""/>
      <w:lvlJc w:val="left"/>
      <w:pPr>
        <w:ind w:left="6480" w:hanging="360"/>
      </w:pPr>
      <w:rPr>
        <w:rFonts w:ascii="Wingdings" w:hAnsi="Wingdings" w:hint="default"/>
      </w:rPr>
    </w:lvl>
  </w:abstractNum>
  <w:abstractNum w:abstractNumId="2" w15:restartNumberingAfterBreak="0">
    <w:nsid w:val="7F8C6ECF"/>
    <w:multiLevelType w:val="hybridMultilevel"/>
    <w:tmpl w:val="4B5C821E"/>
    <w:lvl w:ilvl="0" w:tplc="B626577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396558">
    <w:abstractNumId w:val="1"/>
  </w:num>
  <w:num w:numId="2" w16cid:durableId="150952484">
    <w:abstractNumId w:val="0"/>
  </w:num>
  <w:num w:numId="3" w16cid:durableId="1615284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C3A76B"/>
    <w:rsid w:val="00033EE0"/>
    <w:rsid w:val="00047ADF"/>
    <w:rsid w:val="00061730"/>
    <w:rsid w:val="00084657"/>
    <w:rsid w:val="00095873"/>
    <w:rsid w:val="000971C4"/>
    <w:rsid w:val="000A5AC1"/>
    <w:rsid w:val="000B6814"/>
    <w:rsid w:val="000C109C"/>
    <w:rsid w:val="000C480D"/>
    <w:rsid w:val="000F4391"/>
    <w:rsid w:val="000F4C64"/>
    <w:rsid w:val="000F7488"/>
    <w:rsid w:val="0012481C"/>
    <w:rsid w:val="00130AA9"/>
    <w:rsid w:val="001469DE"/>
    <w:rsid w:val="001779FF"/>
    <w:rsid w:val="001D1886"/>
    <w:rsid w:val="00207561"/>
    <w:rsid w:val="002130BC"/>
    <w:rsid w:val="00221CB9"/>
    <w:rsid w:val="002229DF"/>
    <w:rsid w:val="00260039"/>
    <w:rsid w:val="00261E68"/>
    <w:rsid w:val="00273505"/>
    <w:rsid w:val="002766A5"/>
    <w:rsid w:val="002A581D"/>
    <w:rsid w:val="002C15FB"/>
    <w:rsid w:val="002E44F6"/>
    <w:rsid w:val="00301102"/>
    <w:rsid w:val="00304B4C"/>
    <w:rsid w:val="00307F03"/>
    <w:rsid w:val="00314413"/>
    <w:rsid w:val="00316D5D"/>
    <w:rsid w:val="00323898"/>
    <w:rsid w:val="0033341F"/>
    <w:rsid w:val="0033449C"/>
    <w:rsid w:val="00354A66"/>
    <w:rsid w:val="0039138C"/>
    <w:rsid w:val="00391DB7"/>
    <w:rsid w:val="003D2B43"/>
    <w:rsid w:val="00420444"/>
    <w:rsid w:val="004318E7"/>
    <w:rsid w:val="00457B2C"/>
    <w:rsid w:val="004D166E"/>
    <w:rsid w:val="004D1DB2"/>
    <w:rsid w:val="004E6808"/>
    <w:rsid w:val="004F5A1E"/>
    <w:rsid w:val="004F71B3"/>
    <w:rsid w:val="00532DEA"/>
    <w:rsid w:val="00544296"/>
    <w:rsid w:val="005617A1"/>
    <w:rsid w:val="005A5466"/>
    <w:rsid w:val="005A7DF4"/>
    <w:rsid w:val="005B1356"/>
    <w:rsid w:val="005C4228"/>
    <w:rsid w:val="0060077A"/>
    <w:rsid w:val="00601661"/>
    <w:rsid w:val="00632850"/>
    <w:rsid w:val="006403BA"/>
    <w:rsid w:val="006D7633"/>
    <w:rsid w:val="006E08E4"/>
    <w:rsid w:val="006F224B"/>
    <w:rsid w:val="006F69AE"/>
    <w:rsid w:val="006F7229"/>
    <w:rsid w:val="00704536"/>
    <w:rsid w:val="00735B15"/>
    <w:rsid w:val="00753674"/>
    <w:rsid w:val="007565DC"/>
    <w:rsid w:val="007D6998"/>
    <w:rsid w:val="008119CA"/>
    <w:rsid w:val="00812CD7"/>
    <w:rsid w:val="00814985"/>
    <w:rsid w:val="008235B3"/>
    <w:rsid w:val="00850E2B"/>
    <w:rsid w:val="00857802"/>
    <w:rsid w:val="00870D4F"/>
    <w:rsid w:val="008960DB"/>
    <w:rsid w:val="00896D08"/>
    <w:rsid w:val="008B7BE2"/>
    <w:rsid w:val="008C402A"/>
    <w:rsid w:val="008F3A5F"/>
    <w:rsid w:val="0090236A"/>
    <w:rsid w:val="00913A5D"/>
    <w:rsid w:val="00944CB4"/>
    <w:rsid w:val="00955990"/>
    <w:rsid w:val="009C0357"/>
    <w:rsid w:val="009D0F06"/>
    <w:rsid w:val="00A0644D"/>
    <w:rsid w:val="00A85E50"/>
    <w:rsid w:val="00AE58AB"/>
    <w:rsid w:val="00AF762F"/>
    <w:rsid w:val="00B223C3"/>
    <w:rsid w:val="00B431FF"/>
    <w:rsid w:val="00B434BB"/>
    <w:rsid w:val="00BD0211"/>
    <w:rsid w:val="00BF793C"/>
    <w:rsid w:val="00C03B52"/>
    <w:rsid w:val="00C22DD1"/>
    <w:rsid w:val="00C4263B"/>
    <w:rsid w:val="00C90EF1"/>
    <w:rsid w:val="00C926A0"/>
    <w:rsid w:val="00C93B9C"/>
    <w:rsid w:val="00CA39AA"/>
    <w:rsid w:val="00CA5B0A"/>
    <w:rsid w:val="00CB0F4B"/>
    <w:rsid w:val="00CF5E0F"/>
    <w:rsid w:val="00D21556"/>
    <w:rsid w:val="00D22626"/>
    <w:rsid w:val="00D45D67"/>
    <w:rsid w:val="00D81890"/>
    <w:rsid w:val="00D9240F"/>
    <w:rsid w:val="00DE1991"/>
    <w:rsid w:val="00E46A70"/>
    <w:rsid w:val="00E51D62"/>
    <w:rsid w:val="00E7278A"/>
    <w:rsid w:val="00E7691F"/>
    <w:rsid w:val="00E813ED"/>
    <w:rsid w:val="00E9736E"/>
    <w:rsid w:val="00EB759B"/>
    <w:rsid w:val="00EC60CC"/>
    <w:rsid w:val="00F0593B"/>
    <w:rsid w:val="00F432A9"/>
    <w:rsid w:val="00F641E9"/>
    <w:rsid w:val="00FA1044"/>
    <w:rsid w:val="00FB2AC5"/>
    <w:rsid w:val="00FB704C"/>
    <w:rsid w:val="00FBE7FC"/>
    <w:rsid w:val="00FC443A"/>
    <w:rsid w:val="00FC675A"/>
    <w:rsid w:val="00FC9C71"/>
    <w:rsid w:val="00FF6DC8"/>
    <w:rsid w:val="0128E57E"/>
    <w:rsid w:val="014C109C"/>
    <w:rsid w:val="03C5B7EB"/>
    <w:rsid w:val="04C5B0DA"/>
    <w:rsid w:val="05F930AC"/>
    <w:rsid w:val="07F95037"/>
    <w:rsid w:val="09572281"/>
    <w:rsid w:val="09964494"/>
    <w:rsid w:val="09B3578C"/>
    <w:rsid w:val="09BFB900"/>
    <w:rsid w:val="09DB8519"/>
    <w:rsid w:val="0A0A1E69"/>
    <w:rsid w:val="0AAB6C3D"/>
    <w:rsid w:val="0AD9CA85"/>
    <w:rsid w:val="0AF1343D"/>
    <w:rsid w:val="0B5CFC97"/>
    <w:rsid w:val="0CD48380"/>
    <w:rsid w:val="0CD8B045"/>
    <w:rsid w:val="0DC485B2"/>
    <w:rsid w:val="0DE30CFF"/>
    <w:rsid w:val="0E7053E1"/>
    <w:rsid w:val="0FA67D12"/>
    <w:rsid w:val="111AADC1"/>
    <w:rsid w:val="11424D73"/>
    <w:rsid w:val="11A7F4A3"/>
    <w:rsid w:val="133957BB"/>
    <w:rsid w:val="1343C504"/>
    <w:rsid w:val="13892B32"/>
    <w:rsid w:val="13BF1358"/>
    <w:rsid w:val="14CA99CD"/>
    <w:rsid w:val="15132895"/>
    <w:rsid w:val="15746FBE"/>
    <w:rsid w:val="15CEE6ED"/>
    <w:rsid w:val="16AA3E9D"/>
    <w:rsid w:val="16F7491C"/>
    <w:rsid w:val="1770D592"/>
    <w:rsid w:val="1789EF45"/>
    <w:rsid w:val="181B62EC"/>
    <w:rsid w:val="18A2CDFF"/>
    <w:rsid w:val="192F101E"/>
    <w:rsid w:val="19541DEE"/>
    <w:rsid w:val="19FB8DAC"/>
    <w:rsid w:val="19FCFC79"/>
    <w:rsid w:val="1A29AB5D"/>
    <w:rsid w:val="1B4ED6E9"/>
    <w:rsid w:val="1B5303AE"/>
    <w:rsid w:val="1BE0C921"/>
    <w:rsid w:val="1CEED40F"/>
    <w:rsid w:val="1DCCA82A"/>
    <w:rsid w:val="1DDAA97C"/>
    <w:rsid w:val="1E3CBFBF"/>
    <w:rsid w:val="1E853241"/>
    <w:rsid w:val="1ECA3FAA"/>
    <w:rsid w:val="1FC18F58"/>
    <w:rsid w:val="1FFCA4F8"/>
    <w:rsid w:val="22BE439B"/>
    <w:rsid w:val="22CA4ABA"/>
    <w:rsid w:val="22F3B5B9"/>
    <w:rsid w:val="25382B40"/>
    <w:rsid w:val="270D3B8C"/>
    <w:rsid w:val="288B6513"/>
    <w:rsid w:val="295EB168"/>
    <w:rsid w:val="2A3379AE"/>
    <w:rsid w:val="2ABDCF05"/>
    <w:rsid w:val="2BD43830"/>
    <w:rsid w:val="2D2B6EB0"/>
    <w:rsid w:val="2D9E1525"/>
    <w:rsid w:val="2F5316DC"/>
    <w:rsid w:val="30C84717"/>
    <w:rsid w:val="30ED4200"/>
    <w:rsid w:val="313E401F"/>
    <w:rsid w:val="31BB41E3"/>
    <w:rsid w:val="323130A5"/>
    <w:rsid w:val="332EF983"/>
    <w:rsid w:val="33C621B8"/>
    <w:rsid w:val="346CA0BF"/>
    <w:rsid w:val="34A0CA40"/>
    <w:rsid w:val="35D17BF7"/>
    <w:rsid w:val="3694C3D9"/>
    <w:rsid w:val="36F26D5C"/>
    <w:rsid w:val="37243897"/>
    <w:rsid w:val="372B4CDC"/>
    <w:rsid w:val="376D4C58"/>
    <w:rsid w:val="38C008F8"/>
    <w:rsid w:val="38ED8CDF"/>
    <w:rsid w:val="3A59DC78"/>
    <w:rsid w:val="3B09D76C"/>
    <w:rsid w:val="3CA5A7CD"/>
    <w:rsid w:val="3D3053A9"/>
    <w:rsid w:val="3DCE70CF"/>
    <w:rsid w:val="3DD9F1D1"/>
    <w:rsid w:val="3DF976FA"/>
    <w:rsid w:val="3F08C38F"/>
    <w:rsid w:val="3FDD488F"/>
    <w:rsid w:val="3FF39CDD"/>
    <w:rsid w:val="412D56FB"/>
    <w:rsid w:val="413978E1"/>
    <w:rsid w:val="4172F215"/>
    <w:rsid w:val="418F6D3E"/>
    <w:rsid w:val="41BF611C"/>
    <w:rsid w:val="4240BEA9"/>
    <w:rsid w:val="424BC600"/>
    <w:rsid w:val="426B6DB2"/>
    <w:rsid w:val="4409CFE4"/>
    <w:rsid w:val="4442E47B"/>
    <w:rsid w:val="4468B87E"/>
    <w:rsid w:val="4520D2B9"/>
    <w:rsid w:val="453051D5"/>
    <w:rsid w:val="4676381A"/>
    <w:rsid w:val="46CC2236"/>
    <w:rsid w:val="47A05940"/>
    <w:rsid w:val="49272E09"/>
    <w:rsid w:val="497FF1A0"/>
    <w:rsid w:val="49AC306C"/>
    <w:rsid w:val="49D0768B"/>
    <w:rsid w:val="4B1AD3CE"/>
    <w:rsid w:val="4BDB323F"/>
    <w:rsid w:val="4E0F9AC4"/>
    <w:rsid w:val="4E192363"/>
    <w:rsid w:val="4EE247D4"/>
    <w:rsid w:val="5035600C"/>
    <w:rsid w:val="504FB2DB"/>
    <w:rsid w:val="517FFEC4"/>
    <w:rsid w:val="51956320"/>
    <w:rsid w:val="540B70F0"/>
    <w:rsid w:val="54F7FE40"/>
    <w:rsid w:val="551A2E26"/>
    <w:rsid w:val="5615BAC3"/>
    <w:rsid w:val="575838C0"/>
    <w:rsid w:val="57D063C3"/>
    <w:rsid w:val="591D7044"/>
    <w:rsid w:val="595DE829"/>
    <w:rsid w:val="598C38EE"/>
    <w:rsid w:val="59CDFF67"/>
    <w:rsid w:val="5A13BFA4"/>
    <w:rsid w:val="5A92A07F"/>
    <w:rsid w:val="5BAF9005"/>
    <w:rsid w:val="5BD3A5E1"/>
    <w:rsid w:val="5C10B996"/>
    <w:rsid w:val="5CF1D7AB"/>
    <w:rsid w:val="5D4F8D2B"/>
    <w:rsid w:val="5E63AA18"/>
    <w:rsid w:val="5EA1708A"/>
    <w:rsid w:val="5FBC3446"/>
    <w:rsid w:val="6081E22B"/>
    <w:rsid w:val="60B0E1CC"/>
    <w:rsid w:val="6173035A"/>
    <w:rsid w:val="628CBEDB"/>
    <w:rsid w:val="6398DF1A"/>
    <w:rsid w:val="644C6386"/>
    <w:rsid w:val="65DF3240"/>
    <w:rsid w:val="66047501"/>
    <w:rsid w:val="69D28A09"/>
    <w:rsid w:val="6A27976A"/>
    <w:rsid w:val="6ADD0277"/>
    <w:rsid w:val="6AF3BBDA"/>
    <w:rsid w:val="6BA62500"/>
    <w:rsid w:val="6FD02D01"/>
    <w:rsid w:val="709D51B7"/>
    <w:rsid w:val="70AE31AA"/>
    <w:rsid w:val="71C3A76B"/>
    <w:rsid w:val="723CA404"/>
    <w:rsid w:val="72995AED"/>
    <w:rsid w:val="7354F712"/>
    <w:rsid w:val="73646747"/>
    <w:rsid w:val="7431E2D5"/>
    <w:rsid w:val="74575222"/>
    <w:rsid w:val="7505BAB8"/>
    <w:rsid w:val="750EDC6B"/>
    <w:rsid w:val="7570C2DA"/>
    <w:rsid w:val="7580C760"/>
    <w:rsid w:val="769605ED"/>
    <w:rsid w:val="7755BA2A"/>
    <w:rsid w:val="77B3C3FA"/>
    <w:rsid w:val="7982FE32"/>
    <w:rsid w:val="79E24D8E"/>
    <w:rsid w:val="79E4B303"/>
    <w:rsid w:val="7A6AA5BA"/>
    <w:rsid w:val="7A743118"/>
    <w:rsid w:val="7A87FBFC"/>
    <w:rsid w:val="7ADCCF17"/>
    <w:rsid w:val="7B9056ED"/>
    <w:rsid w:val="7C4B1516"/>
    <w:rsid w:val="7D645D9D"/>
    <w:rsid w:val="7D6474E5"/>
    <w:rsid w:val="7D66A454"/>
    <w:rsid w:val="7DA2467C"/>
    <w:rsid w:val="7DC4C374"/>
    <w:rsid w:val="7DC4FBAE"/>
    <w:rsid w:val="7DFDCEA4"/>
    <w:rsid w:val="7E371CCA"/>
    <w:rsid w:val="7E6B6AED"/>
    <w:rsid w:val="7E976F77"/>
    <w:rsid w:val="7F3E435D"/>
    <w:rsid w:val="7F60C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3A76B"/>
  <w15:chartTrackingRefBased/>
  <w15:docId w15:val="{9ACCDDD0-DD41-48E4-9DC1-04554DBDD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3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sid w:val="00A0644D"/>
    <w:rPr>
      <w:sz w:val="16"/>
      <w:szCs w:val="16"/>
    </w:rPr>
  </w:style>
  <w:style w:type="paragraph" w:styleId="CommentText">
    <w:name w:val="annotation text"/>
    <w:basedOn w:val="Normal"/>
    <w:link w:val="CommentTextChar"/>
    <w:uiPriority w:val="99"/>
    <w:unhideWhenUsed/>
    <w:rsid w:val="00A0644D"/>
    <w:pPr>
      <w:spacing w:line="240" w:lineRule="auto"/>
    </w:pPr>
    <w:rPr>
      <w:sz w:val="20"/>
      <w:szCs w:val="20"/>
    </w:rPr>
  </w:style>
  <w:style w:type="character" w:customStyle="1" w:styleId="CommentTextChar">
    <w:name w:val="Comment Text Char"/>
    <w:basedOn w:val="DefaultParagraphFont"/>
    <w:link w:val="CommentText"/>
    <w:uiPriority w:val="99"/>
    <w:rsid w:val="00A0644D"/>
    <w:rPr>
      <w:sz w:val="20"/>
      <w:szCs w:val="20"/>
    </w:rPr>
  </w:style>
  <w:style w:type="paragraph" w:styleId="CommentSubject">
    <w:name w:val="annotation subject"/>
    <w:basedOn w:val="CommentText"/>
    <w:next w:val="CommentText"/>
    <w:link w:val="CommentSubjectChar"/>
    <w:uiPriority w:val="99"/>
    <w:semiHidden/>
    <w:unhideWhenUsed/>
    <w:rsid w:val="00A0644D"/>
    <w:rPr>
      <w:b/>
      <w:bCs/>
    </w:rPr>
  </w:style>
  <w:style w:type="character" w:customStyle="1" w:styleId="CommentSubjectChar">
    <w:name w:val="Comment Subject Char"/>
    <w:basedOn w:val="CommentTextChar"/>
    <w:link w:val="CommentSubject"/>
    <w:uiPriority w:val="99"/>
    <w:semiHidden/>
    <w:rsid w:val="00A0644D"/>
    <w:rPr>
      <w:b/>
      <w:bCs/>
      <w:sz w:val="20"/>
      <w:szCs w:val="20"/>
    </w:rPr>
  </w:style>
  <w:style w:type="paragraph" w:styleId="Revision">
    <w:name w:val="Revision"/>
    <w:hidden/>
    <w:uiPriority w:val="99"/>
    <w:semiHidden/>
    <w:rsid w:val="00CA39AA"/>
    <w:pPr>
      <w:spacing w:after="0" w:line="240" w:lineRule="auto"/>
    </w:pPr>
  </w:style>
  <w:style w:type="character" w:customStyle="1" w:styleId="ui-provider">
    <w:name w:val="ui-provider"/>
    <w:basedOn w:val="DefaultParagraphFont"/>
    <w:rsid w:val="00FA1044"/>
  </w:style>
  <w:style w:type="paragraph" w:styleId="ListParagraph">
    <w:name w:val="List Paragraph"/>
    <w:basedOn w:val="Normal"/>
    <w:uiPriority w:val="34"/>
    <w:qFormat/>
    <w:rsid w:val="002130BC"/>
    <w:pPr>
      <w:ind w:left="720"/>
      <w:contextualSpacing/>
    </w:pPr>
  </w:style>
  <w:style w:type="character" w:styleId="Hyperlink">
    <w:name w:val="Hyperlink"/>
    <w:basedOn w:val="DefaultParagraphFont"/>
    <w:uiPriority w:val="99"/>
    <w:unhideWhenUsed/>
    <w:rsid w:val="00391DB7"/>
    <w:rPr>
      <w:color w:val="0563C1" w:themeColor="hyperlink"/>
      <w:u w:val="single"/>
    </w:rPr>
  </w:style>
  <w:style w:type="character" w:styleId="UnresolvedMention">
    <w:name w:val="Unresolved Mention"/>
    <w:basedOn w:val="DefaultParagraphFont"/>
    <w:uiPriority w:val="99"/>
    <w:semiHidden/>
    <w:unhideWhenUsed/>
    <w:rsid w:val="00391DB7"/>
    <w:rPr>
      <w:color w:val="605E5C"/>
      <w:shd w:val="clear" w:color="auto" w:fill="E1DFDD"/>
    </w:rPr>
  </w:style>
  <w:style w:type="character" w:styleId="FollowedHyperlink">
    <w:name w:val="FollowedHyperlink"/>
    <w:basedOn w:val="DefaultParagraphFont"/>
    <w:uiPriority w:val="99"/>
    <w:semiHidden/>
    <w:unhideWhenUsed/>
    <w:rsid w:val="00A85E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553959">
      <w:bodyDiv w:val="1"/>
      <w:marLeft w:val="0"/>
      <w:marRight w:val="0"/>
      <w:marTop w:val="0"/>
      <w:marBottom w:val="0"/>
      <w:divBdr>
        <w:top w:val="none" w:sz="0" w:space="0" w:color="auto"/>
        <w:left w:val="none" w:sz="0" w:space="0" w:color="auto"/>
        <w:bottom w:val="none" w:sz="0" w:space="0" w:color="auto"/>
        <w:right w:val="none" w:sz="0" w:space="0" w:color="auto"/>
      </w:divBdr>
    </w:div>
    <w:div w:id="184616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s://www.nyc.gov/assets/buildings/pdf/ll97-compliance-report-proces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EF0FEAEB62B94EA859904301634BE5" ma:contentTypeVersion="14" ma:contentTypeDescription="Create a new document." ma:contentTypeScope="" ma:versionID="faa667a52fdcaf0ba63cd749f62ca337">
  <xsd:schema xmlns:xsd="http://www.w3.org/2001/XMLSchema" xmlns:xs="http://www.w3.org/2001/XMLSchema" xmlns:p="http://schemas.microsoft.com/office/2006/metadata/properties" xmlns:ns3="865b8de7-1e00-4600-bb93-18bf8e5ff84b" xmlns:ns4="0b1bc1af-87e5-450e-bf44-14c5661112b9" targetNamespace="http://schemas.microsoft.com/office/2006/metadata/properties" ma:root="true" ma:fieldsID="c1d326b1b4c09b41edbc75cba21adaaf" ns3:_="" ns4:_="">
    <xsd:import namespace="865b8de7-1e00-4600-bb93-18bf8e5ff84b"/>
    <xsd:import namespace="0b1bc1af-87e5-450e-bf44-14c5661112b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b8de7-1e00-4600-bb93-18bf8e5ff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1bc1af-87e5-450e-bf44-14c5661112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65b8de7-1e00-4600-bb93-18bf8e5ff84b" xsi:nil="true"/>
  </documentManagement>
</p:properties>
</file>

<file path=customXml/itemProps1.xml><?xml version="1.0" encoding="utf-8"?>
<ds:datastoreItem xmlns:ds="http://schemas.openxmlformats.org/officeDocument/2006/customXml" ds:itemID="{7D974E57-2125-4508-91E4-6F58A3D1A573}">
  <ds:schemaRefs>
    <ds:schemaRef ds:uri="http://schemas.microsoft.com/sharepoint/v3/contenttype/forms"/>
  </ds:schemaRefs>
</ds:datastoreItem>
</file>

<file path=customXml/itemProps2.xml><?xml version="1.0" encoding="utf-8"?>
<ds:datastoreItem xmlns:ds="http://schemas.openxmlformats.org/officeDocument/2006/customXml" ds:itemID="{4EAFD995-07D6-4C6E-A28C-9D02C6DB5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5b8de7-1e00-4600-bb93-18bf8e5ff84b"/>
    <ds:schemaRef ds:uri="0b1bc1af-87e5-450e-bf44-14c566111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80BC99-1D5C-445F-A7BF-216AF5BB908E}">
  <ds:schemaRefs>
    <ds:schemaRef ds:uri="http://schemas.microsoft.com/office/2006/metadata/properties"/>
    <ds:schemaRef ds:uri="http://schemas.microsoft.com/office/infopath/2007/PartnerControls"/>
    <ds:schemaRef ds:uri="865b8de7-1e00-4600-bb93-18bf8e5ff84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1189</Words>
  <Characters>6781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Austrich (Buildings)</dc:creator>
  <cp:keywords/>
  <dc:description/>
  <cp:lastModifiedBy>Beth Golub (Buildings)</cp:lastModifiedBy>
  <cp:revision>2</cp:revision>
  <dcterms:created xsi:type="dcterms:W3CDTF">2025-01-06T18:59:00Z</dcterms:created>
  <dcterms:modified xsi:type="dcterms:W3CDTF">2025-01-06T18:59:00Z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0x01010026EF0FEAEB62B94EA859904301634BE5</vt:lpwstr>
  </property>
  <property fmtid="{D5CDD505-2E9C-101B-9397-08002B2CF9AE}" pid="3" name="MediaServiceImageTags">
    <vt:lpwstr/>
  </property>
</Properties>
</file>